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80EE0" w14:textId="77777777" w:rsidR="00385EC6" w:rsidRPr="00493F9C" w:rsidRDefault="00C15B27">
      <w:pPr>
        <w:pStyle w:val="Body"/>
        <w:spacing w:line="240" w:lineRule="auto"/>
        <w:jc w:val="center"/>
        <w:rPr>
          <w:rFonts w:ascii="Times New Roman" w:eastAsia="Times New Roman" w:hAnsi="Times New Roman" w:cs="Times New Roman"/>
          <w:b/>
          <w:bCs/>
          <w:sz w:val="24"/>
          <w:szCs w:val="24"/>
        </w:rPr>
      </w:pPr>
      <w:r w:rsidRPr="00493F9C">
        <w:rPr>
          <w:rFonts w:ascii="Times New Roman" w:hAnsi="Times New Roman" w:cs="Times New Roman"/>
          <w:b/>
          <w:bCs/>
          <w:sz w:val="24"/>
          <w:szCs w:val="24"/>
        </w:rPr>
        <w:t xml:space="preserve">IN THE UNITED STATES DISTRICT COURT                                                                    FOR THE DISTRICT OF COLUMBIA </w:t>
      </w:r>
    </w:p>
    <w:p w14:paraId="3ADF675D" w14:textId="545BECC3" w:rsidR="00385EC6" w:rsidRPr="00493F9C" w:rsidRDefault="00C15B27" w:rsidP="00BC2C16">
      <w:pPr>
        <w:pStyle w:val="NoSpacing"/>
        <w:tabs>
          <w:tab w:val="left" w:pos="5040"/>
        </w:tabs>
        <w:rPr>
          <w:rFonts w:ascii="Times New Roman" w:eastAsia="Times New Roman" w:hAnsi="Times New Roman" w:cs="Times New Roman"/>
          <w:sz w:val="24"/>
          <w:szCs w:val="24"/>
        </w:rPr>
      </w:pPr>
      <w:r w:rsidRPr="00493F9C">
        <w:rPr>
          <w:rFonts w:ascii="Times New Roman" w:hAnsi="Times New Roman" w:cs="Times New Roman"/>
          <w:b/>
          <w:bCs/>
          <w:sz w:val="24"/>
          <w:szCs w:val="24"/>
        </w:rPr>
        <w:t>CITIZEN</w:t>
      </w:r>
      <w:r w:rsidR="00BC2C16" w:rsidRPr="00493F9C">
        <w:rPr>
          <w:rFonts w:ascii="Times New Roman" w:hAnsi="Times New Roman" w:cs="Times New Roman"/>
          <w:b/>
          <w:bCs/>
          <w:sz w:val="24"/>
          <w:szCs w:val="24"/>
        </w:rPr>
        <w:t xml:space="preserve">S FOR RESPONSIBILITY AND       </w:t>
      </w:r>
      <w:r w:rsidR="00BC2C16" w:rsidRPr="00493F9C">
        <w:rPr>
          <w:rFonts w:ascii="Times New Roman" w:hAnsi="Times New Roman" w:cs="Times New Roman"/>
          <w:b/>
          <w:bCs/>
          <w:sz w:val="24"/>
          <w:szCs w:val="24"/>
        </w:rPr>
        <w:tab/>
      </w:r>
      <w:r w:rsidRPr="00493F9C">
        <w:rPr>
          <w:rFonts w:ascii="Times New Roman" w:hAnsi="Times New Roman" w:cs="Times New Roman"/>
          <w:sz w:val="24"/>
          <w:szCs w:val="24"/>
        </w:rPr>
        <w:t>)</w:t>
      </w:r>
    </w:p>
    <w:p w14:paraId="278D3946" w14:textId="748226B7" w:rsidR="00385EC6" w:rsidRPr="00493F9C" w:rsidRDefault="00C15B27" w:rsidP="009C093A">
      <w:pPr>
        <w:pStyle w:val="NoSpacing"/>
        <w:tabs>
          <w:tab w:val="left" w:pos="5040"/>
        </w:tabs>
        <w:rPr>
          <w:rFonts w:ascii="Times New Roman" w:eastAsia="Times New Roman" w:hAnsi="Times New Roman" w:cs="Times New Roman"/>
          <w:sz w:val="24"/>
          <w:szCs w:val="24"/>
        </w:rPr>
      </w:pPr>
      <w:r w:rsidRPr="00493F9C">
        <w:rPr>
          <w:rFonts w:ascii="Times New Roman" w:hAnsi="Times New Roman" w:cs="Times New Roman"/>
          <w:b/>
          <w:bCs/>
          <w:sz w:val="24"/>
          <w:szCs w:val="24"/>
        </w:rPr>
        <w:t xml:space="preserve">ETHICS IN WASHINGTON </w:t>
      </w:r>
      <w:r w:rsidRPr="00493F9C">
        <w:rPr>
          <w:rFonts w:ascii="Times New Roman" w:hAnsi="Times New Roman" w:cs="Times New Roman"/>
          <w:sz w:val="24"/>
          <w:szCs w:val="24"/>
        </w:rPr>
        <w:t xml:space="preserve">                             </w:t>
      </w:r>
      <w:r w:rsidR="009C093A">
        <w:rPr>
          <w:rFonts w:ascii="Times New Roman" w:hAnsi="Times New Roman" w:cs="Times New Roman"/>
          <w:sz w:val="24"/>
          <w:szCs w:val="24"/>
        </w:rPr>
        <w:tab/>
      </w:r>
      <w:r w:rsidRPr="00493F9C">
        <w:rPr>
          <w:rFonts w:ascii="Times New Roman" w:hAnsi="Times New Roman" w:cs="Times New Roman"/>
          <w:sz w:val="24"/>
          <w:szCs w:val="24"/>
        </w:rPr>
        <w:t>)</w:t>
      </w:r>
    </w:p>
    <w:p w14:paraId="6FDAE7C7" w14:textId="40143C7B" w:rsidR="00385EC6" w:rsidRPr="00493F9C" w:rsidRDefault="00C15B27" w:rsidP="009C093A">
      <w:pPr>
        <w:pStyle w:val="NoSpacing"/>
        <w:tabs>
          <w:tab w:val="left" w:pos="5040"/>
        </w:tabs>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455 Massachusetts Ave., </w:t>
      </w:r>
      <w:r w:rsidR="00BC2C16" w:rsidRPr="00493F9C">
        <w:rPr>
          <w:rFonts w:ascii="Times New Roman" w:hAnsi="Times New Roman" w:cs="Times New Roman"/>
          <w:sz w:val="24"/>
          <w:szCs w:val="24"/>
        </w:rPr>
        <w:t xml:space="preserve">N.W. </w:t>
      </w:r>
      <w:r w:rsidRPr="00493F9C">
        <w:rPr>
          <w:rFonts w:ascii="Times New Roman" w:hAnsi="Times New Roman" w:cs="Times New Roman"/>
          <w:sz w:val="24"/>
          <w:szCs w:val="24"/>
        </w:rPr>
        <w:t xml:space="preserve">Sixth Floor </w:t>
      </w:r>
      <w:r w:rsidR="00BC2C16" w:rsidRPr="00493F9C">
        <w:rPr>
          <w:rFonts w:ascii="Times New Roman" w:hAnsi="Times New Roman" w:cs="Times New Roman"/>
          <w:sz w:val="24"/>
          <w:szCs w:val="24"/>
        </w:rPr>
        <w:t xml:space="preserve">           </w:t>
      </w:r>
      <w:r w:rsidR="009C093A">
        <w:rPr>
          <w:rFonts w:ascii="Times New Roman" w:hAnsi="Times New Roman" w:cs="Times New Roman"/>
          <w:sz w:val="24"/>
          <w:szCs w:val="24"/>
        </w:rPr>
        <w:tab/>
      </w:r>
      <w:r w:rsidRPr="00493F9C">
        <w:rPr>
          <w:rFonts w:ascii="Times New Roman" w:hAnsi="Times New Roman" w:cs="Times New Roman"/>
          <w:sz w:val="24"/>
          <w:szCs w:val="24"/>
        </w:rPr>
        <w:t>)</w:t>
      </w:r>
    </w:p>
    <w:p w14:paraId="20BE39F3" w14:textId="77777777" w:rsidR="009C093A" w:rsidRDefault="00C15B27" w:rsidP="009C093A">
      <w:pPr>
        <w:pStyle w:val="NoSpacing"/>
        <w:tabs>
          <w:tab w:val="left" w:pos="5040"/>
        </w:tabs>
        <w:rPr>
          <w:rFonts w:ascii="Times New Roman" w:hAnsi="Times New Roman" w:cs="Times New Roman"/>
          <w:sz w:val="24"/>
          <w:szCs w:val="24"/>
        </w:rPr>
      </w:pPr>
      <w:r w:rsidRPr="00493F9C">
        <w:rPr>
          <w:rFonts w:ascii="Times New Roman" w:hAnsi="Times New Roman" w:cs="Times New Roman"/>
          <w:sz w:val="24"/>
          <w:szCs w:val="24"/>
        </w:rPr>
        <w:t xml:space="preserve">Washington, D.C. 20001,           </w:t>
      </w:r>
      <w:r w:rsidR="00BC2C16" w:rsidRPr="00493F9C">
        <w:rPr>
          <w:rFonts w:ascii="Times New Roman" w:hAnsi="Times New Roman" w:cs="Times New Roman"/>
          <w:sz w:val="24"/>
          <w:szCs w:val="24"/>
        </w:rPr>
        <w:t xml:space="preserve">                             </w:t>
      </w:r>
      <w:r w:rsidR="009C093A">
        <w:rPr>
          <w:rFonts w:ascii="Times New Roman" w:hAnsi="Times New Roman" w:cs="Times New Roman"/>
          <w:sz w:val="24"/>
          <w:szCs w:val="24"/>
        </w:rPr>
        <w:tab/>
      </w:r>
      <w:r w:rsidRPr="00493F9C">
        <w:rPr>
          <w:rFonts w:ascii="Times New Roman" w:hAnsi="Times New Roman" w:cs="Times New Roman"/>
          <w:sz w:val="24"/>
          <w:szCs w:val="24"/>
        </w:rPr>
        <w:t>)</w:t>
      </w:r>
    </w:p>
    <w:p w14:paraId="44C998E3" w14:textId="77777777" w:rsidR="009C093A" w:rsidRDefault="00BC2C16" w:rsidP="009C093A">
      <w:pPr>
        <w:pStyle w:val="NoSpacing"/>
        <w:tabs>
          <w:tab w:val="left" w:pos="5040"/>
        </w:tabs>
        <w:rPr>
          <w:rFonts w:ascii="Times New Roman" w:eastAsia="Times New Roman" w:hAnsi="Times New Roman" w:cs="Times New Roman"/>
          <w:sz w:val="24"/>
          <w:szCs w:val="24"/>
        </w:rPr>
      </w:pPr>
      <w:r w:rsidRPr="00493F9C">
        <w:rPr>
          <w:rFonts w:ascii="Times New Roman" w:eastAsia="Times New Roman" w:hAnsi="Times New Roman" w:cs="Times New Roman"/>
          <w:sz w:val="24"/>
          <w:szCs w:val="24"/>
        </w:rPr>
        <w:tab/>
      </w:r>
      <w:r w:rsidR="00C15B27" w:rsidRPr="00493F9C">
        <w:rPr>
          <w:rFonts w:ascii="Times New Roman" w:eastAsia="Times New Roman" w:hAnsi="Times New Roman" w:cs="Times New Roman"/>
          <w:sz w:val="24"/>
          <w:szCs w:val="24"/>
        </w:rPr>
        <w:t>)</w:t>
      </w:r>
    </w:p>
    <w:p w14:paraId="04F4EDEF" w14:textId="302EB907" w:rsidR="009C093A" w:rsidRDefault="00C15B27" w:rsidP="009C093A">
      <w:pPr>
        <w:pStyle w:val="NoSpacing"/>
        <w:tabs>
          <w:tab w:val="left" w:pos="5040"/>
        </w:tabs>
        <w:rPr>
          <w:rFonts w:ascii="Times New Roman" w:hAnsi="Times New Roman" w:cs="Times New Roman"/>
          <w:sz w:val="24"/>
          <w:szCs w:val="24"/>
        </w:rPr>
      </w:pPr>
      <w:r w:rsidRPr="00493F9C">
        <w:rPr>
          <w:rFonts w:ascii="Times New Roman" w:hAnsi="Times New Roman" w:cs="Times New Roman"/>
          <w:b/>
          <w:sz w:val="24"/>
          <w:szCs w:val="24"/>
        </w:rPr>
        <w:t>MELANIE SLOAN</w:t>
      </w:r>
      <w:r w:rsidRPr="00493F9C">
        <w:rPr>
          <w:rFonts w:ascii="Times New Roman" w:hAnsi="Times New Roman" w:cs="Times New Roman"/>
          <w:sz w:val="24"/>
          <w:szCs w:val="24"/>
        </w:rPr>
        <w:tab/>
        <w:t>)</w:t>
      </w:r>
    </w:p>
    <w:p w14:paraId="54E48612" w14:textId="563C0F5A" w:rsidR="009C093A" w:rsidRPr="006035EC" w:rsidRDefault="00AC57B7" w:rsidP="009C093A">
      <w:pPr>
        <w:pStyle w:val="NoSpacing"/>
        <w:tabs>
          <w:tab w:val="left" w:pos="5040"/>
        </w:tabs>
        <w:rPr>
          <w:rFonts w:ascii="Times New Roman" w:hAnsi="Times New Roman" w:cs="Times New Roman"/>
          <w:sz w:val="24"/>
          <w:szCs w:val="24"/>
        </w:rPr>
      </w:pPr>
      <w:r w:rsidRPr="006035EC">
        <w:rPr>
          <w:rFonts w:ascii="Times New Roman" w:hAnsi="Times New Roman" w:cs="Times New Roman"/>
          <w:sz w:val="24"/>
          <w:szCs w:val="24"/>
        </w:rPr>
        <w:t>1229 Independence Ave, S.E.</w:t>
      </w:r>
      <w:r w:rsidR="002E7223" w:rsidRPr="006035EC">
        <w:rPr>
          <w:rFonts w:ascii="Times New Roman" w:hAnsi="Times New Roman" w:cs="Times New Roman"/>
          <w:sz w:val="24"/>
          <w:szCs w:val="24"/>
        </w:rPr>
        <w:tab/>
        <w:t>)</w:t>
      </w:r>
    </w:p>
    <w:p w14:paraId="417C1490" w14:textId="2B72534D" w:rsidR="009C093A" w:rsidRDefault="002E7223" w:rsidP="009C093A">
      <w:pPr>
        <w:pStyle w:val="NoSpacing"/>
        <w:tabs>
          <w:tab w:val="left" w:pos="5040"/>
        </w:tabs>
        <w:rPr>
          <w:rFonts w:ascii="Times New Roman" w:hAnsi="Times New Roman" w:cs="Times New Roman"/>
          <w:sz w:val="24"/>
          <w:szCs w:val="24"/>
        </w:rPr>
      </w:pPr>
      <w:r w:rsidRPr="006035EC">
        <w:rPr>
          <w:rFonts w:ascii="Times New Roman" w:hAnsi="Times New Roman" w:cs="Times New Roman"/>
          <w:sz w:val="24"/>
          <w:szCs w:val="24"/>
        </w:rPr>
        <w:t>Washington, D.C. 20003</w:t>
      </w:r>
      <w:r w:rsidR="000A2024" w:rsidRPr="006035EC">
        <w:rPr>
          <w:rFonts w:ascii="Times New Roman" w:hAnsi="Times New Roman" w:cs="Times New Roman"/>
          <w:sz w:val="24"/>
          <w:szCs w:val="24"/>
        </w:rPr>
        <w:t xml:space="preserve"> </w:t>
      </w:r>
      <w:r w:rsidR="00C15B27" w:rsidRPr="00493F9C">
        <w:rPr>
          <w:rFonts w:ascii="Times New Roman" w:hAnsi="Times New Roman" w:cs="Times New Roman"/>
          <w:sz w:val="24"/>
          <w:szCs w:val="24"/>
        </w:rPr>
        <w:tab/>
        <w:t>)</w:t>
      </w:r>
    </w:p>
    <w:p w14:paraId="39BFAE12" w14:textId="2556ECE3" w:rsidR="00385EC6" w:rsidRPr="00493F9C" w:rsidRDefault="00C15B27" w:rsidP="009C093A">
      <w:pPr>
        <w:pStyle w:val="NoSpacing"/>
        <w:tabs>
          <w:tab w:val="left" w:pos="1440"/>
          <w:tab w:val="left" w:pos="5040"/>
        </w:tabs>
        <w:rPr>
          <w:rFonts w:ascii="Times New Roman" w:eastAsia="Times New Roman" w:hAnsi="Times New Roman" w:cs="Times New Roman"/>
          <w:sz w:val="24"/>
          <w:szCs w:val="24"/>
        </w:rPr>
      </w:pPr>
      <w:r w:rsidRPr="00493F9C">
        <w:rPr>
          <w:rFonts w:ascii="Times New Roman" w:eastAsia="Times New Roman" w:hAnsi="Times New Roman" w:cs="Times New Roman"/>
          <w:sz w:val="24"/>
          <w:szCs w:val="24"/>
        </w:rPr>
        <w:tab/>
      </w:r>
      <w:r w:rsidR="009C093A">
        <w:rPr>
          <w:rFonts w:ascii="Times New Roman" w:eastAsia="Times New Roman" w:hAnsi="Times New Roman" w:cs="Times New Roman"/>
          <w:sz w:val="24"/>
          <w:szCs w:val="24"/>
        </w:rPr>
        <w:tab/>
      </w:r>
      <w:r w:rsidRPr="00493F9C">
        <w:rPr>
          <w:rFonts w:ascii="Times New Roman" w:hAnsi="Times New Roman" w:cs="Times New Roman"/>
          <w:sz w:val="24"/>
          <w:szCs w:val="24"/>
        </w:rPr>
        <w:t>)</w:t>
      </w:r>
      <w:r w:rsidRPr="00493F9C">
        <w:rPr>
          <w:rFonts w:ascii="Times New Roman" w:hAnsi="Times New Roman" w:cs="Times New Roman"/>
          <w:sz w:val="24"/>
          <w:szCs w:val="24"/>
        </w:rPr>
        <w:tab/>
        <w:t>Civil Action No.</w:t>
      </w:r>
      <w:r w:rsidRPr="00493F9C">
        <w:rPr>
          <w:rFonts w:ascii="Times New Roman" w:eastAsia="Times New Roman" w:hAnsi="Times New Roman" w:cs="Times New Roman"/>
          <w:sz w:val="24"/>
          <w:szCs w:val="24"/>
        </w:rPr>
        <w:tab/>
        <w:t>Plaintiffs,</w:t>
      </w:r>
      <w:r w:rsidR="009C093A">
        <w:rPr>
          <w:rFonts w:ascii="Times New Roman" w:eastAsia="Times New Roman" w:hAnsi="Times New Roman" w:cs="Times New Roman"/>
          <w:sz w:val="24"/>
          <w:szCs w:val="24"/>
        </w:rPr>
        <w:tab/>
      </w:r>
      <w:r w:rsidRPr="00493F9C">
        <w:rPr>
          <w:rFonts w:ascii="Times New Roman" w:eastAsia="Times New Roman" w:hAnsi="Times New Roman" w:cs="Times New Roman"/>
          <w:sz w:val="24"/>
          <w:szCs w:val="24"/>
        </w:rPr>
        <w:t>)</w:t>
      </w:r>
    </w:p>
    <w:p w14:paraId="0985CB39" w14:textId="4E01805E" w:rsidR="00385EC6" w:rsidRPr="00493F9C" w:rsidRDefault="00C15B27" w:rsidP="009C093A">
      <w:pPr>
        <w:pStyle w:val="NoSpacing"/>
        <w:tabs>
          <w:tab w:val="left" w:pos="5040"/>
        </w:tabs>
        <w:rPr>
          <w:rFonts w:ascii="Times New Roman" w:eastAsia="Times New Roman" w:hAnsi="Times New Roman" w:cs="Times New Roman"/>
          <w:sz w:val="24"/>
          <w:szCs w:val="24"/>
        </w:rPr>
      </w:pPr>
      <w:r w:rsidRPr="00493F9C">
        <w:rPr>
          <w:rFonts w:ascii="Times New Roman" w:eastAsia="Times New Roman" w:hAnsi="Times New Roman" w:cs="Times New Roman"/>
          <w:sz w:val="24"/>
          <w:szCs w:val="24"/>
        </w:rPr>
        <w:tab/>
        <w:t>)</w:t>
      </w:r>
    </w:p>
    <w:p w14:paraId="6CD205A6" w14:textId="2F270561" w:rsidR="00385EC6" w:rsidRPr="00493F9C" w:rsidRDefault="00C15B27" w:rsidP="009C093A">
      <w:pPr>
        <w:pStyle w:val="NoSpacing"/>
        <w:tabs>
          <w:tab w:val="left" w:pos="720"/>
          <w:tab w:val="left" w:pos="5040"/>
        </w:tabs>
        <w:rPr>
          <w:rFonts w:ascii="Times New Roman" w:eastAsia="Times New Roman" w:hAnsi="Times New Roman" w:cs="Times New Roman"/>
          <w:sz w:val="24"/>
          <w:szCs w:val="24"/>
        </w:rPr>
      </w:pPr>
      <w:r w:rsidRPr="00493F9C">
        <w:rPr>
          <w:rFonts w:ascii="Times New Roman" w:eastAsia="Times New Roman" w:hAnsi="Times New Roman" w:cs="Times New Roman"/>
          <w:sz w:val="24"/>
          <w:szCs w:val="24"/>
        </w:rPr>
        <w:tab/>
      </w:r>
      <w:proofErr w:type="gramStart"/>
      <w:r w:rsidRPr="00493F9C">
        <w:rPr>
          <w:rFonts w:ascii="Times New Roman" w:eastAsia="Times New Roman" w:hAnsi="Times New Roman" w:cs="Times New Roman"/>
          <w:sz w:val="24"/>
          <w:szCs w:val="24"/>
        </w:rPr>
        <w:t>v</w:t>
      </w:r>
      <w:proofErr w:type="gramEnd"/>
      <w:r w:rsidRPr="00493F9C">
        <w:rPr>
          <w:rFonts w:ascii="Times New Roman" w:eastAsia="Times New Roman" w:hAnsi="Times New Roman" w:cs="Times New Roman"/>
          <w:sz w:val="24"/>
          <w:szCs w:val="24"/>
        </w:rPr>
        <w:t>.</w:t>
      </w:r>
      <w:r w:rsidRPr="00493F9C">
        <w:rPr>
          <w:rFonts w:ascii="Times New Roman" w:eastAsia="Times New Roman" w:hAnsi="Times New Roman" w:cs="Times New Roman"/>
          <w:sz w:val="24"/>
          <w:szCs w:val="24"/>
        </w:rPr>
        <w:tab/>
        <w:t>)</w:t>
      </w:r>
    </w:p>
    <w:p w14:paraId="502F9722" w14:textId="34B3FAB4" w:rsidR="00385EC6" w:rsidRPr="00493F9C" w:rsidRDefault="00C15B27" w:rsidP="009C093A">
      <w:pPr>
        <w:pStyle w:val="NoSpacing"/>
        <w:tabs>
          <w:tab w:val="left" w:pos="5040"/>
        </w:tabs>
        <w:rPr>
          <w:rFonts w:ascii="Times New Roman" w:eastAsia="Times New Roman" w:hAnsi="Times New Roman" w:cs="Times New Roman"/>
          <w:sz w:val="24"/>
          <w:szCs w:val="24"/>
        </w:rPr>
      </w:pPr>
      <w:r w:rsidRPr="00493F9C">
        <w:rPr>
          <w:rFonts w:ascii="Times New Roman" w:eastAsia="Times New Roman" w:hAnsi="Times New Roman" w:cs="Times New Roman"/>
          <w:sz w:val="24"/>
          <w:szCs w:val="24"/>
        </w:rPr>
        <w:tab/>
        <w:t>)</w:t>
      </w:r>
    </w:p>
    <w:p w14:paraId="4CC5C77F" w14:textId="283F3FED" w:rsidR="00385EC6" w:rsidRPr="00493F9C" w:rsidRDefault="009C093A" w:rsidP="009C093A">
      <w:pPr>
        <w:pStyle w:val="NoSpacing"/>
        <w:tabs>
          <w:tab w:val="left" w:pos="5040"/>
        </w:tabs>
        <w:rPr>
          <w:rFonts w:ascii="Times New Roman" w:eastAsia="Times New Roman" w:hAnsi="Times New Roman" w:cs="Times New Roman"/>
          <w:sz w:val="24"/>
          <w:szCs w:val="24"/>
        </w:rPr>
      </w:pPr>
      <w:r>
        <w:rPr>
          <w:rFonts w:ascii="Times New Roman" w:hAnsi="Times New Roman" w:cs="Times New Roman"/>
          <w:b/>
          <w:bCs/>
          <w:sz w:val="24"/>
          <w:szCs w:val="24"/>
        </w:rPr>
        <w:t>FEDERAL ELECTION COMISSION</w:t>
      </w:r>
      <w:r w:rsidR="00C15B27" w:rsidRPr="00493F9C">
        <w:rPr>
          <w:rFonts w:ascii="Times New Roman" w:hAnsi="Times New Roman" w:cs="Times New Roman"/>
          <w:b/>
          <w:bCs/>
          <w:sz w:val="24"/>
          <w:szCs w:val="24"/>
        </w:rPr>
        <w:tab/>
      </w:r>
      <w:r w:rsidR="00C15B27" w:rsidRPr="00493F9C">
        <w:rPr>
          <w:rFonts w:ascii="Times New Roman" w:hAnsi="Times New Roman" w:cs="Times New Roman"/>
          <w:sz w:val="24"/>
          <w:szCs w:val="24"/>
        </w:rPr>
        <w:t>)</w:t>
      </w:r>
    </w:p>
    <w:p w14:paraId="5A832C4D" w14:textId="5979CE1D" w:rsidR="00385EC6" w:rsidRPr="00493F9C" w:rsidRDefault="00C15B27" w:rsidP="009C093A">
      <w:pPr>
        <w:pStyle w:val="NoSpacing"/>
        <w:tabs>
          <w:tab w:val="left" w:pos="5040"/>
        </w:tabs>
        <w:rPr>
          <w:rFonts w:ascii="Times New Roman" w:eastAsia="Times New Roman" w:hAnsi="Times New Roman" w:cs="Times New Roman"/>
          <w:sz w:val="24"/>
          <w:szCs w:val="24"/>
        </w:rPr>
      </w:pPr>
      <w:r w:rsidRPr="00493F9C">
        <w:rPr>
          <w:rFonts w:ascii="Times New Roman" w:hAnsi="Times New Roman" w:cs="Times New Roman"/>
          <w:sz w:val="24"/>
          <w:szCs w:val="24"/>
        </w:rPr>
        <w:t>999 E Street, N.W.</w:t>
      </w:r>
      <w:r w:rsidRPr="00493F9C">
        <w:rPr>
          <w:rFonts w:ascii="Times New Roman" w:hAnsi="Times New Roman" w:cs="Times New Roman"/>
          <w:sz w:val="24"/>
          <w:szCs w:val="24"/>
        </w:rPr>
        <w:tab/>
        <w:t>)</w:t>
      </w:r>
    </w:p>
    <w:p w14:paraId="754765A7" w14:textId="6D469105" w:rsidR="00385EC6" w:rsidRPr="00493F9C" w:rsidRDefault="00C15B27" w:rsidP="009C093A">
      <w:pPr>
        <w:pStyle w:val="NoSpacing"/>
        <w:tabs>
          <w:tab w:val="left" w:pos="5040"/>
        </w:tabs>
        <w:rPr>
          <w:rFonts w:ascii="Times New Roman" w:eastAsia="Times New Roman" w:hAnsi="Times New Roman" w:cs="Times New Roman"/>
          <w:sz w:val="24"/>
          <w:szCs w:val="24"/>
        </w:rPr>
      </w:pPr>
      <w:r w:rsidRPr="00493F9C">
        <w:rPr>
          <w:rFonts w:ascii="Times New Roman" w:hAnsi="Times New Roman" w:cs="Times New Roman"/>
          <w:sz w:val="24"/>
          <w:szCs w:val="24"/>
        </w:rPr>
        <w:t>Washington, D.C. 20463,</w:t>
      </w:r>
      <w:r w:rsidRPr="00493F9C">
        <w:rPr>
          <w:rFonts w:ascii="Times New Roman" w:hAnsi="Times New Roman" w:cs="Times New Roman"/>
          <w:sz w:val="24"/>
          <w:szCs w:val="24"/>
        </w:rPr>
        <w:tab/>
        <w:t>)</w:t>
      </w:r>
    </w:p>
    <w:p w14:paraId="4F13B625" w14:textId="4DEDB174" w:rsidR="00385EC6" w:rsidRPr="00493F9C" w:rsidRDefault="00C15B27" w:rsidP="009C093A">
      <w:pPr>
        <w:pStyle w:val="NoSpacing"/>
        <w:tabs>
          <w:tab w:val="left" w:pos="5040"/>
        </w:tabs>
        <w:rPr>
          <w:rFonts w:ascii="Times New Roman" w:eastAsia="Times New Roman" w:hAnsi="Times New Roman" w:cs="Times New Roman"/>
          <w:sz w:val="24"/>
          <w:szCs w:val="24"/>
        </w:rPr>
      </w:pPr>
      <w:r w:rsidRPr="00493F9C">
        <w:rPr>
          <w:rFonts w:ascii="Times New Roman" w:eastAsia="Times New Roman" w:hAnsi="Times New Roman" w:cs="Times New Roman"/>
          <w:sz w:val="24"/>
          <w:szCs w:val="24"/>
        </w:rPr>
        <w:tab/>
        <w:t>)</w:t>
      </w:r>
    </w:p>
    <w:p w14:paraId="423F9AA9" w14:textId="1652C086" w:rsidR="00385EC6" w:rsidRPr="00493F9C" w:rsidRDefault="00C15B27" w:rsidP="009C093A">
      <w:pPr>
        <w:pStyle w:val="NoSpacing"/>
        <w:tabs>
          <w:tab w:val="left" w:pos="1440"/>
          <w:tab w:val="left" w:pos="5040"/>
        </w:tabs>
        <w:rPr>
          <w:rFonts w:ascii="Times New Roman" w:eastAsia="Times New Roman" w:hAnsi="Times New Roman" w:cs="Times New Roman"/>
          <w:sz w:val="24"/>
          <w:szCs w:val="24"/>
        </w:rPr>
      </w:pPr>
      <w:r w:rsidRPr="00493F9C">
        <w:rPr>
          <w:rFonts w:ascii="Times New Roman" w:eastAsia="Times New Roman" w:hAnsi="Times New Roman" w:cs="Times New Roman"/>
          <w:sz w:val="24"/>
          <w:szCs w:val="24"/>
        </w:rPr>
        <w:tab/>
        <w:t>Defendant,</w:t>
      </w:r>
      <w:r w:rsidRPr="00493F9C">
        <w:rPr>
          <w:rFonts w:ascii="Times New Roman" w:eastAsia="Times New Roman" w:hAnsi="Times New Roman" w:cs="Times New Roman"/>
          <w:sz w:val="24"/>
          <w:szCs w:val="24"/>
        </w:rPr>
        <w:tab/>
        <w:t>)</w:t>
      </w:r>
    </w:p>
    <w:p w14:paraId="1D1D0A7B" w14:textId="0208767B" w:rsidR="00385EC6" w:rsidRPr="00493F9C" w:rsidRDefault="009C093A" w:rsidP="009C093A">
      <w:pPr>
        <w:pStyle w:val="NoSpacing"/>
        <w:tabs>
          <w:tab w:val="left" w:pos="504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sidR="00C15B27" w:rsidRPr="00493F9C">
        <w:rPr>
          <w:rFonts w:ascii="Times New Roman" w:hAnsi="Times New Roman" w:cs="Times New Roman"/>
          <w:sz w:val="24"/>
          <w:szCs w:val="24"/>
        </w:rPr>
        <w:t>)</w:t>
      </w:r>
    </w:p>
    <w:p w14:paraId="7E27D64A" w14:textId="77777777" w:rsidR="00385EC6" w:rsidRPr="00493F9C" w:rsidRDefault="00385EC6" w:rsidP="00E07251">
      <w:pPr>
        <w:pStyle w:val="NoSpacing"/>
        <w:rPr>
          <w:rFonts w:ascii="Times New Roman" w:eastAsia="Times New Roman" w:hAnsi="Times New Roman" w:cs="Times New Roman"/>
          <w:sz w:val="24"/>
          <w:szCs w:val="24"/>
        </w:rPr>
      </w:pPr>
    </w:p>
    <w:p w14:paraId="5954CB45" w14:textId="77777777" w:rsidR="00385EC6" w:rsidRPr="00493F9C" w:rsidRDefault="00C15B27" w:rsidP="00E07251">
      <w:pPr>
        <w:pStyle w:val="NoSpacing"/>
        <w:jc w:val="center"/>
        <w:rPr>
          <w:rFonts w:ascii="Times New Roman" w:eastAsia="Times New Roman" w:hAnsi="Times New Roman" w:cs="Times New Roman"/>
          <w:b/>
          <w:bCs/>
          <w:sz w:val="24"/>
          <w:szCs w:val="24"/>
          <w:u w:val="single"/>
        </w:rPr>
      </w:pPr>
      <w:r w:rsidRPr="00493F9C">
        <w:rPr>
          <w:rFonts w:ascii="Times New Roman" w:hAnsi="Times New Roman" w:cs="Times New Roman"/>
          <w:b/>
          <w:bCs/>
          <w:sz w:val="24"/>
          <w:szCs w:val="24"/>
          <w:u w:val="single"/>
        </w:rPr>
        <w:t>COMPLAINT FOR INJUNCTIVE AND DECLARATORY RELIEF</w:t>
      </w:r>
    </w:p>
    <w:p w14:paraId="2506EF9C" w14:textId="77777777" w:rsidR="00385EC6" w:rsidRPr="00493F9C" w:rsidRDefault="00385EC6" w:rsidP="00E07251">
      <w:pPr>
        <w:pStyle w:val="NoSpacing"/>
        <w:rPr>
          <w:rFonts w:ascii="Times New Roman" w:eastAsia="Times New Roman" w:hAnsi="Times New Roman" w:cs="Times New Roman"/>
          <w:b/>
          <w:bCs/>
          <w:sz w:val="24"/>
          <w:szCs w:val="24"/>
          <w:u w:val="single"/>
        </w:rPr>
      </w:pPr>
    </w:p>
    <w:p w14:paraId="5C9D8729" w14:textId="5AD93701" w:rsidR="00CD0A7F" w:rsidRPr="00CD0A7F" w:rsidRDefault="00C15B27" w:rsidP="00E07251">
      <w:pPr>
        <w:pStyle w:val="NoSpacing"/>
        <w:numPr>
          <w:ilvl w:val="0"/>
          <w:numId w:val="3"/>
        </w:numPr>
        <w:tabs>
          <w:tab w:val="clear" w:pos="720"/>
          <w:tab w:val="num" w:pos="75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This is an action for injunctive and declaratory relief under the Federal Election Campaign Act of 1971 (“FECA”), 52 U.S.C. § 30109(a)(8)(C)</w:t>
      </w:r>
      <w:r w:rsidR="00400DB1">
        <w:rPr>
          <w:rFonts w:ascii="Times New Roman" w:hAnsi="Times New Roman" w:cs="Times New Roman"/>
          <w:sz w:val="24"/>
          <w:szCs w:val="24"/>
        </w:rPr>
        <w:t>,</w:t>
      </w:r>
      <w:r w:rsidRPr="00493F9C">
        <w:rPr>
          <w:rFonts w:ascii="Times New Roman" w:hAnsi="Times New Roman" w:cs="Times New Roman"/>
          <w:sz w:val="24"/>
          <w:szCs w:val="24"/>
        </w:rPr>
        <w:t xml:space="preserve"> challenging as arbitrary, capricious, an abuse of discretion, and contrary to law </w:t>
      </w:r>
      <w:r w:rsidR="00CD0A7F">
        <w:rPr>
          <w:rFonts w:ascii="Times New Roman" w:hAnsi="Times New Roman" w:cs="Times New Roman"/>
          <w:sz w:val="24"/>
          <w:szCs w:val="24"/>
        </w:rPr>
        <w:t xml:space="preserve">(1) </w:t>
      </w:r>
      <w:r w:rsidRPr="00493F9C">
        <w:rPr>
          <w:rFonts w:ascii="Times New Roman" w:hAnsi="Times New Roman" w:cs="Times New Roman"/>
          <w:sz w:val="24"/>
          <w:szCs w:val="24"/>
        </w:rPr>
        <w:t xml:space="preserve">the dismissal by the Federal Election Commission (“FEC” or “Commission”) of </w:t>
      </w:r>
      <w:r w:rsidR="00CD0A7F">
        <w:rPr>
          <w:rFonts w:ascii="Times New Roman" w:hAnsi="Times New Roman" w:cs="Times New Roman"/>
          <w:sz w:val="24"/>
          <w:szCs w:val="24"/>
        </w:rPr>
        <w:t xml:space="preserve">an </w:t>
      </w:r>
      <w:r w:rsidRPr="00493F9C">
        <w:rPr>
          <w:rFonts w:ascii="Times New Roman" w:hAnsi="Times New Roman" w:cs="Times New Roman"/>
          <w:sz w:val="24"/>
          <w:szCs w:val="24"/>
        </w:rPr>
        <w:t>administrative complaint by Citizens for Responsibility and Ethics in Washington (“CREW”) and Melanie Sloan</w:t>
      </w:r>
      <w:r w:rsidR="00CD0A7F">
        <w:rPr>
          <w:rFonts w:ascii="Times New Roman" w:hAnsi="Times New Roman" w:cs="Times New Roman"/>
          <w:sz w:val="24"/>
          <w:szCs w:val="24"/>
        </w:rPr>
        <w:t xml:space="preserve"> (together with CREW, “Plaintiffs”)</w:t>
      </w:r>
      <w:r w:rsidRPr="00493F9C">
        <w:rPr>
          <w:rFonts w:ascii="Times New Roman" w:hAnsi="Times New Roman" w:cs="Times New Roman"/>
          <w:sz w:val="24"/>
          <w:szCs w:val="24"/>
        </w:rPr>
        <w:t xml:space="preserve"> against the </w:t>
      </w:r>
      <w:r w:rsidR="00CD0A7F">
        <w:rPr>
          <w:rFonts w:ascii="Times New Roman" w:hAnsi="Times New Roman" w:cs="Times New Roman"/>
          <w:sz w:val="24"/>
          <w:szCs w:val="24"/>
        </w:rPr>
        <w:t>American Action Network</w:t>
      </w:r>
      <w:r w:rsidRPr="00493F9C">
        <w:rPr>
          <w:rFonts w:ascii="Times New Roman" w:hAnsi="Times New Roman" w:cs="Times New Roman"/>
          <w:sz w:val="24"/>
          <w:szCs w:val="24"/>
        </w:rPr>
        <w:t xml:space="preserve"> (“</w:t>
      </w:r>
      <w:r w:rsidR="00CD0A7F">
        <w:rPr>
          <w:rFonts w:ascii="Times New Roman" w:hAnsi="Times New Roman" w:cs="Times New Roman"/>
          <w:sz w:val="24"/>
          <w:szCs w:val="24"/>
        </w:rPr>
        <w:t>AAN</w:t>
      </w:r>
      <w:r w:rsidRPr="00493F9C">
        <w:rPr>
          <w:rFonts w:ascii="Times New Roman" w:hAnsi="Times New Roman" w:cs="Times New Roman"/>
          <w:sz w:val="24"/>
          <w:szCs w:val="24"/>
        </w:rPr>
        <w:t xml:space="preserve">”) </w:t>
      </w:r>
      <w:r w:rsidR="00CD0A7F">
        <w:rPr>
          <w:rFonts w:ascii="Times New Roman" w:hAnsi="Times New Roman" w:cs="Times New Roman"/>
          <w:sz w:val="24"/>
          <w:szCs w:val="24"/>
        </w:rPr>
        <w:t xml:space="preserve">after remand to the agency to correct legal errors identified by Judge Christopher Cooper, </w:t>
      </w:r>
      <w:r w:rsidR="00CD0A7F">
        <w:rPr>
          <w:rFonts w:ascii="Times New Roman" w:hAnsi="Times New Roman" w:cs="Times New Roman"/>
          <w:i/>
          <w:sz w:val="24"/>
          <w:szCs w:val="24"/>
        </w:rPr>
        <w:t>CREW v. FEC</w:t>
      </w:r>
      <w:r w:rsidR="00CD0A7F">
        <w:rPr>
          <w:rFonts w:ascii="Times New Roman" w:hAnsi="Times New Roman" w:cs="Times New Roman"/>
          <w:sz w:val="24"/>
          <w:szCs w:val="24"/>
        </w:rPr>
        <w:t>, No. 1:14-cv-01419</w:t>
      </w:r>
      <w:r w:rsidR="00645389">
        <w:rPr>
          <w:rFonts w:ascii="Times New Roman" w:hAnsi="Times New Roman" w:cs="Times New Roman"/>
          <w:sz w:val="24"/>
          <w:szCs w:val="24"/>
        </w:rPr>
        <w:t xml:space="preserve"> (CRC)</w:t>
      </w:r>
      <w:r w:rsidR="00CD0A7F">
        <w:rPr>
          <w:rFonts w:ascii="Times New Roman" w:hAnsi="Times New Roman" w:cs="Times New Roman"/>
          <w:sz w:val="24"/>
          <w:szCs w:val="24"/>
        </w:rPr>
        <w:t xml:space="preserve">, 2016 U.S. Dist. </w:t>
      </w:r>
      <w:r w:rsidR="00645389">
        <w:rPr>
          <w:rFonts w:ascii="Times New Roman" w:hAnsi="Times New Roman" w:cs="Times New Roman"/>
          <w:sz w:val="24"/>
          <w:szCs w:val="24"/>
        </w:rPr>
        <w:t>LEXIS 127308 (D.D.C. Sep</w:t>
      </w:r>
      <w:r w:rsidR="00F20BBC">
        <w:rPr>
          <w:rFonts w:ascii="Times New Roman" w:hAnsi="Times New Roman" w:cs="Times New Roman"/>
          <w:sz w:val="24"/>
          <w:szCs w:val="24"/>
        </w:rPr>
        <w:t>t</w:t>
      </w:r>
      <w:r w:rsidR="00645389">
        <w:rPr>
          <w:rFonts w:ascii="Times New Roman" w:hAnsi="Times New Roman" w:cs="Times New Roman"/>
          <w:sz w:val="24"/>
          <w:szCs w:val="24"/>
        </w:rPr>
        <w:t>. 19, 2</w:t>
      </w:r>
      <w:r w:rsidR="00CD0A7F">
        <w:rPr>
          <w:rFonts w:ascii="Times New Roman" w:hAnsi="Times New Roman" w:cs="Times New Roman"/>
          <w:sz w:val="24"/>
          <w:szCs w:val="24"/>
        </w:rPr>
        <w:t xml:space="preserve">016); and (2) the constructive dismissal or failure to act by the FEC of an administrative complaint by Plaintiffs against Americans for Job Security (“AJS”) after remand by the same order of Judge Cooper.  </w:t>
      </w:r>
    </w:p>
    <w:p w14:paraId="26FE7FE5" w14:textId="7F995D21" w:rsidR="00975FDF" w:rsidRPr="00EF7A76" w:rsidRDefault="00C15B27" w:rsidP="00EF7A76">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lastRenderedPageBreak/>
        <w:t xml:space="preserve">As alleged below, </w:t>
      </w:r>
      <w:r w:rsidR="00975FDF">
        <w:rPr>
          <w:rFonts w:ascii="Times New Roman" w:hAnsi="Times New Roman" w:cs="Times New Roman"/>
          <w:sz w:val="24"/>
          <w:szCs w:val="24"/>
        </w:rPr>
        <w:t>on September 19, 2016, Judge Cooper held the FEC’s previous dismissals of Plaintiffs</w:t>
      </w:r>
      <w:r w:rsidR="00141D60">
        <w:rPr>
          <w:rFonts w:ascii="Times New Roman" w:hAnsi="Times New Roman" w:cs="Times New Roman"/>
          <w:sz w:val="24"/>
          <w:szCs w:val="24"/>
        </w:rPr>
        <w:t>’</w:t>
      </w:r>
      <w:r w:rsidR="00975FDF">
        <w:rPr>
          <w:rFonts w:ascii="Times New Roman" w:hAnsi="Times New Roman" w:cs="Times New Roman"/>
          <w:sz w:val="24"/>
          <w:szCs w:val="24"/>
        </w:rPr>
        <w:t xml:space="preserve"> complaints against AAN and AJS were “contrary to law” in violation of the FECA.  </w:t>
      </w:r>
      <w:r w:rsidR="005F1F01" w:rsidRPr="005F1F01">
        <w:rPr>
          <w:rFonts w:ascii="Times New Roman" w:hAnsi="Times New Roman" w:cs="Times New Roman"/>
          <w:sz w:val="24"/>
          <w:szCs w:val="24"/>
        </w:rPr>
        <w:t>CREW</w:t>
      </w:r>
      <w:r w:rsidR="005F1F01">
        <w:rPr>
          <w:rFonts w:ascii="Times New Roman" w:hAnsi="Times New Roman" w:cs="Times New Roman"/>
          <w:sz w:val="24"/>
          <w:szCs w:val="24"/>
        </w:rPr>
        <w:t>, 2016 U.S. Dist. LEXIS 12730</w:t>
      </w:r>
      <w:r w:rsidR="00400DB1">
        <w:rPr>
          <w:rFonts w:ascii="Times New Roman" w:hAnsi="Times New Roman" w:cs="Times New Roman"/>
          <w:sz w:val="24"/>
          <w:szCs w:val="24"/>
        </w:rPr>
        <w:t>8</w:t>
      </w:r>
      <w:r w:rsidR="005F1F01">
        <w:rPr>
          <w:rFonts w:ascii="Times New Roman" w:hAnsi="Times New Roman" w:cs="Times New Roman"/>
          <w:sz w:val="24"/>
          <w:szCs w:val="24"/>
        </w:rPr>
        <w:t xml:space="preserve">, at *43.  </w:t>
      </w:r>
      <w:r w:rsidR="00B070FE">
        <w:rPr>
          <w:rFonts w:ascii="Times New Roman" w:hAnsi="Times New Roman" w:cs="Times New Roman"/>
          <w:sz w:val="24"/>
          <w:szCs w:val="24"/>
        </w:rPr>
        <w:t>In particular, Judge Cooper found the dismissal</w:t>
      </w:r>
      <w:r w:rsidR="00400DB1">
        <w:rPr>
          <w:rFonts w:ascii="Times New Roman" w:hAnsi="Times New Roman" w:cs="Times New Roman"/>
          <w:sz w:val="24"/>
          <w:szCs w:val="24"/>
        </w:rPr>
        <w:t>s were</w:t>
      </w:r>
      <w:r w:rsidR="00B070FE">
        <w:rPr>
          <w:rFonts w:ascii="Times New Roman" w:hAnsi="Times New Roman" w:cs="Times New Roman"/>
          <w:sz w:val="24"/>
          <w:szCs w:val="24"/>
        </w:rPr>
        <w:t xml:space="preserve"> contrary to law because the three commissioners who voted against finding reason to believe AAN and AJS violated the FECA (the “controlling commissioners”) impermissibl</w:t>
      </w:r>
      <w:r w:rsidR="008F1904">
        <w:rPr>
          <w:rFonts w:ascii="Times New Roman" w:hAnsi="Times New Roman" w:cs="Times New Roman"/>
          <w:sz w:val="24"/>
          <w:szCs w:val="24"/>
        </w:rPr>
        <w:t>y</w:t>
      </w:r>
      <w:r w:rsidR="00B070FE">
        <w:rPr>
          <w:rFonts w:ascii="Times New Roman" w:hAnsi="Times New Roman" w:cs="Times New Roman"/>
          <w:sz w:val="24"/>
          <w:szCs w:val="24"/>
        </w:rPr>
        <w:t xml:space="preserve"> treated all of the group</w:t>
      </w:r>
      <w:r w:rsidR="00400DB1">
        <w:rPr>
          <w:rFonts w:ascii="Times New Roman" w:hAnsi="Times New Roman" w:cs="Times New Roman"/>
          <w:sz w:val="24"/>
          <w:szCs w:val="24"/>
        </w:rPr>
        <w:t>s</w:t>
      </w:r>
      <w:r w:rsidR="00B070FE">
        <w:rPr>
          <w:rFonts w:ascii="Times New Roman" w:hAnsi="Times New Roman" w:cs="Times New Roman"/>
          <w:sz w:val="24"/>
          <w:szCs w:val="24"/>
        </w:rPr>
        <w:t>’ non-express advocacy communications, including their electioneering communications, as non-electoral</w:t>
      </w:r>
      <w:r w:rsidR="00141D60">
        <w:rPr>
          <w:rFonts w:ascii="Times New Roman" w:hAnsi="Times New Roman" w:cs="Times New Roman"/>
          <w:sz w:val="24"/>
          <w:szCs w:val="24"/>
        </w:rPr>
        <w:t xml:space="preserve"> in determining their major purpose</w:t>
      </w:r>
      <w:r w:rsidR="00B070FE">
        <w:rPr>
          <w:rFonts w:ascii="Times New Roman" w:hAnsi="Times New Roman" w:cs="Times New Roman"/>
          <w:sz w:val="24"/>
          <w:szCs w:val="24"/>
        </w:rPr>
        <w:t xml:space="preserve">.  </w:t>
      </w:r>
      <w:r w:rsidR="00B070FE">
        <w:rPr>
          <w:rFonts w:ascii="Times New Roman" w:hAnsi="Times New Roman" w:cs="Times New Roman"/>
          <w:i/>
          <w:sz w:val="24"/>
          <w:szCs w:val="24"/>
        </w:rPr>
        <w:t xml:space="preserve">Id. </w:t>
      </w:r>
      <w:r w:rsidR="00B070FE">
        <w:rPr>
          <w:rFonts w:ascii="Times New Roman" w:hAnsi="Times New Roman" w:cs="Times New Roman"/>
          <w:sz w:val="24"/>
          <w:szCs w:val="24"/>
        </w:rPr>
        <w:t>at *37–38.  Further, Judge Cooper found the controlling commissioners</w:t>
      </w:r>
      <w:r w:rsidR="0006635F">
        <w:rPr>
          <w:rFonts w:ascii="Times New Roman" w:hAnsi="Times New Roman" w:cs="Times New Roman"/>
          <w:sz w:val="24"/>
          <w:szCs w:val="24"/>
        </w:rPr>
        <w:t>’</w:t>
      </w:r>
      <w:r w:rsidR="00B070FE">
        <w:rPr>
          <w:rFonts w:ascii="Times New Roman" w:hAnsi="Times New Roman" w:cs="Times New Roman"/>
          <w:sz w:val="24"/>
          <w:szCs w:val="24"/>
        </w:rPr>
        <w:t xml:space="preserve"> </w:t>
      </w:r>
      <w:r w:rsidR="008F1904">
        <w:rPr>
          <w:rFonts w:ascii="Times New Roman" w:hAnsi="Times New Roman" w:cs="Times New Roman"/>
          <w:sz w:val="24"/>
          <w:szCs w:val="24"/>
        </w:rPr>
        <w:t xml:space="preserve">giving </w:t>
      </w:r>
      <w:r w:rsidR="00B070FE">
        <w:rPr>
          <w:rFonts w:ascii="Times New Roman" w:hAnsi="Times New Roman" w:cs="Times New Roman"/>
          <w:sz w:val="24"/>
          <w:szCs w:val="24"/>
        </w:rPr>
        <w:t>equal weigh</w:t>
      </w:r>
      <w:r w:rsidR="008F1904">
        <w:rPr>
          <w:rFonts w:ascii="Times New Roman" w:hAnsi="Times New Roman" w:cs="Times New Roman"/>
          <w:sz w:val="24"/>
          <w:szCs w:val="24"/>
        </w:rPr>
        <w:t>t to</w:t>
      </w:r>
      <w:r w:rsidR="00B070FE">
        <w:rPr>
          <w:rFonts w:ascii="Times New Roman" w:hAnsi="Times New Roman" w:cs="Times New Roman"/>
          <w:sz w:val="24"/>
          <w:szCs w:val="24"/>
        </w:rPr>
        <w:t xml:space="preserve"> activity </w:t>
      </w:r>
      <w:r w:rsidR="00B85364">
        <w:rPr>
          <w:rFonts w:ascii="Times New Roman" w:hAnsi="Times New Roman" w:cs="Times New Roman"/>
          <w:sz w:val="24"/>
          <w:szCs w:val="24"/>
        </w:rPr>
        <w:t xml:space="preserve">from the distant past </w:t>
      </w:r>
      <w:r w:rsidR="008F1904">
        <w:rPr>
          <w:rFonts w:ascii="Times New Roman" w:hAnsi="Times New Roman" w:cs="Times New Roman"/>
          <w:sz w:val="24"/>
          <w:szCs w:val="24"/>
        </w:rPr>
        <w:t xml:space="preserve">and to </w:t>
      </w:r>
      <w:r w:rsidR="00400DB1">
        <w:rPr>
          <w:rFonts w:ascii="Times New Roman" w:hAnsi="Times New Roman" w:cs="Times New Roman"/>
          <w:sz w:val="24"/>
          <w:szCs w:val="24"/>
        </w:rPr>
        <w:t>the groups’</w:t>
      </w:r>
      <w:r w:rsidR="00B070FE">
        <w:rPr>
          <w:rFonts w:ascii="Times New Roman" w:hAnsi="Times New Roman" w:cs="Times New Roman"/>
          <w:sz w:val="24"/>
          <w:szCs w:val="24"/>
        </w:rPr>
        <w:t xml:space="preserve"> </w:t>
      </w:r>
      <w:r w:rsidR="0006635F">
        <w:rPr>
          <w:rFonts w:ascii="Times New Roman" w:hAnsi="Times New Roman" w:cs="Times New Roman"/>
          <w:sz w:val="24"/>
          <w:szCs w:val="24"/>
        </w:rPr>
        <w:t>recent</w:t>
      </w:r>
      <w:r w:rsidR="00400DB1">
        <w:rPr>
          <w:rFonts w:ascii="Times New Roman" w:hAnsi="Times New Roman" w:cs="Times New Roman"/>
          <w:sz w:val="24"/>
          <w:szCs w:val="24"/>
        </w:rPr>
        <w:t xml:space="preserve"> activity </w:t>
      </w:r>
      <w:r w:rsidR="008F1904">
        <w:rPr>
          <w:rFonts w:ascii="Times New Roman" w:hAnsi="Times New Roman" w:cs="Times New Roman"/>
          <w:sz w:val="24"/>
          <w:szCs w:val="24"/>
        </w:rPr>
        <w:t xml:space="preserve">in order </w:t>
      </w:r>
      <w:r w:rsidR="00400DB1">
        <w:rPr>
          <w:rFonts w:ascii="Times New Roman" w:hAnsi="Times New Roman" w:cs="Times New Roman"/>
          <w:sz w:val="24"/>
          <w:szCs w:val="24"/>
        </w:rPr>
        <w:t>to determine their</w:t>
      </w:r>
      <w:r w:rsidR="00B070FE">
        <w:rPr>
          <w:rFonts w:ascii="Times New Roman" w:hAnsi="Times New Roman" w:cs="Times New Roman"/>
          <w:sz w:val="24"/>
          <w:szCs w:val="24"/>
        </w:rPr>
        <w:t xml:space="preserve"> current major purpose was arbitrary and capricious.  </w:t>
      </w:r>
      <w:r w:rsidR="00B070FE">
        <w:rPr>
          <w:rFonts w:ascii="Times New Roman" w:hAnsi="Times New Roman" w:cs="Times New Roman"/>
          <w:i/>
          <w:sz w:val="24"/>
          <w:szCs w:val="24"/>
        </w:rPr>
        <w:t>Id.</w:t>
      </w:r>
      <w:r w:rsidR="0006635F">
        <w:rPr>
          <w:rFonts w:ascii="Times New Roman" w:hAnsi="Times New Roman" w:cs="Times New Roman"/>
          <w:sz w:val="24"/>
          <w:szCs w:val="24"/>
        </w:rPr>
        <w:t xml:space="preserve"> at *43.  </w:t>
      </w:r>
      <w:r w:rsidR="00B070FE">
        <w:rPr>
          <w:rFonts w:ascii="Times New Roman" w:hAnsi="Times New Roman" w:cs="Times New Roman"/>
          <w:sz w:val="24"/>
          <w:szCs w:val="24"/>
        </w:rPr>
        <w:t>Judge Cooper reversed the FEC’s prior dismissals of Plaintiffs</w:t>
      </w:r>
      <w:r w:rsidR="00141D60">
        <w:rPr>
          <w:rFonts w:ascii="Times New Roman" w:hAnsi="Times New Roman" w:cs="Times New Roman"/>
          <w:sz w:val="24"/>
          <w:szCs w:val="24"/>
        </w:rPr>
        <w:t>’</w:t>
      </w:r>
      <w:r w:rsidR="00B070FE">
        <w:rPr>
          <w:rFonts w:ascii="Times New Roman" w:hAnsi="Times New Roman" w:cs="Times New Roman"/>
          <w:sz w:val="24"/>
          <w:szCs w:val="24"/>
        </w:rPr>
        <w:t xml:space="preserve"> complaints against AAN and AJS, and ordered the FEC to act in conformance with the Court’s order within thirty days.  </w:t>
      </w:r>
      <w:r w:rsidR="00B070FE">
        <w:rPr>
          <w:rFonts w:ascii="Times New Roman" w:hAnsi="Times New Roman" w:cs="Times New Roman"/>
          <w:i/>
          <w:sz w:val="24"/>
          <w:szCs w:val="24"/>
        </w:rPr>
        <w:t>Id.</w:t>
      </w:r>
      <w:r w:rsidR="00FC1429" w:rsidRPr="00EF7A76">
        <w:rPr>
          <w:rFonts w:ascii="Times New Roman" w:hAnsi="Times New Roman" w:cs="Times New Roman"/>
          <w:sz w:val="24"/>
          <w:szCs w:val="24"/>
          <w:highlight w:val="yellow"/>
        </w:rPr>
        <w:t xml:space="preserve">  </w:t>
      </w:r>
    </w:p>
    <w:p w14:paraId="60E648DB" w14:textId="77777777" w:rsidR="0006635F" w:rsidRPr="0006635F" w:rsidRDefault="00FC1429" w:rsidP="00FC1429">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t xml:space="preserve">Nevertheless, on remand, the controlling commissioners failed to act in conformity with Judge Cooper’s decision.  </w:t>
      </w:r>
    </w:p>
    <w:p w14:paraId="09C3EA53" w14:textId="3AFAE8A2" w:rsidR="00385EC6" w:rsidRPr="00B070FE" w:rsidRDefault="00FC1429" w:rsidP="00FC1429">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t xml:space="preserve">With regard to AAN, they once again </w:t>
      </w:r>
      <w:r w:rsidR="000A2024">
        <w:rPr>
          <w:rFonts w:ascii="Times New Roman" w:hAnsi="Times New Roman" w:cs="Times New Roman"/>
          <w:sz w:val="24"/>
          <w:szCs w:val="24"/>
        </w:rPr>
        <w:t xml:space="preserve">refused </w:t>
      </w:r>
      <w:r>
        <w:rPr>
          <w:rFonts w:ascii="Times New Roman" w:hAnsi="Times New Roman" w:cs="Times New Roman"/>
          <w:sz w:val="24"/>
          <w:szCs w:val="24"/>
        </w:rPr>
        <w:t xml:space="preserve">to find reason to believe AAN violated the FECA by failing to register as a political committee, </w:t>
      </w:r>
      <w:r w:rsidR="00B85364">
        <w:rPr>
          <w:rFonts w:ascii="Times New Roman" w:hAnsi="Times New Roman" w:cs="Times New Roman"/>
          <w:sz w:val="24"/>
          <w:szCs w:val="24"/>
        </w:rPr>
        <w:t xml:space="preserve">which </w:t>
      </w:r>
      <w:r>
        <w:rPr>
          <w:rFonts w:ascii="Times New Roman" w:hAnsi="Times New Roman" w:cs="Times New Roman"/>
          <w:sz w:val="24"/>
          <w:szCs w:val="24"/>
        </w:rPr>
        <w:t>deadlock</w:t>
      </w:r>
      <w:r w:rsidR="00B85364">
        <w:rPr>
          <w:rFonts w:ascii="Times New Roman" w:hAnsi="Times New Roman" w:cs="Times New Roman"/>
          <w:sz w:val="24"/>
          <w:szCs w:val="24"/>
        </w:rPr>
        <w:t>ed</w:t>
      </w:r>
      <w:r>
        <w:rPr>
          <w:rFonts w:ascii="Times New Roman" w:hAnsi="Times New Roman" w:cs="Times New Roman"/>
          <w:sz w:val="24"/>
          <w:szCs w:val="24"/>
        </w:rPr>
        <w:t xml:space="preserve"> the commission </w:t>
      </w:r>
      <w:r w:rsidR="00B85364">
        <w:rPr>
          <w:rFonts w:ascii="Times New Roman" w:hAnsi="Times New Roman" w:cs="Times New Roman"/>
          <w:sz w:val="24"/>
          <w:szCs w:val="24"/>
        </w:rPr>
        <w:t xml:space="preserve">and </w:t>
      </w:r>
      <w:r>
        <w:rPr>
          <w:rFonts w:ascii="Times New Roman" w:hAnsi="Times New Roman" w:cs="Times New Roman"/>
          <w:sz w:val="24"/>
          <w:szCs w:val="24"/>
        </w:rPr>
        <w:t>resulted in the FEC once again dismissing Plaintiffs</w:t>
      </w:r>
      <w:r w:rsidR="0006635F">
        <w:rPr>
          <w:rFonts w:ascii="Times New Roman" w:hAnsi="Times New Roman" w:cs="Times New Roman"/>
          <w:sz w:val="24"/>
          <w:szCs w:val="24"/>
        </w:rPr>
        <w:t xml:space="preserve">’ complaint against the group. </w:t>
      </w:r>
      <w:r w:rsidR="00C15B27" w:rsidRPr="00493F9C">
        <w:rPr>
          <w:rFonts w:ascii="Times New Roman" w:hAnsi="Times New Roman" w:cs="Times New Roman"/>
          <w:sz w:val="24"/>
          <w:szCs w:val="24"/>
        </w:rPr>
        <w:t xml:space="preserve"> </w:t>
      </w:r>
      <w:r>
        <w:rPr>
          <w:rFonts w:ascii="Times New Roman" w:hAnsi="Times New Roman" w:cs="Times New Roman"/>
          <w:sz w:val="24"/>
          <w:szCs w:val="24"/>
        </w:rPr>
        <w:t>In direct contravention of Judge Cooper’s decision that, at a minimum, “</w:t>
      </w:r>
      <w:r>
        <w:rPr>
          <w:rFonts w:ascii="Times New Roman" w:hAnsi="Times New Roman" w:cs="Times New Roman"/>
          <w:i/>
          <w:sz w:val="24"/>
          <w:szCs w:val="24"/>
        </w:rPr>
        <w:t>many</w:t>
      </w:r>
      <w:r>
        <w:rPr>
          <w:rFonts w:ascii="Times New Roman" w:hAnsi="Times New Roman" w:cs="Times New Roman"/>
          <w:sz w:val="24"/>
          <w:szCs w:val="24"/>
        </w:rPr>
        <w:t xml:space="preserve"> or even </w:t>
      </w:r>
      <w:r>
        <w:rPr>
          <w:rFonts w:ascii="Times New Roman" w:hAnsi="Times New Roman" w:cs="Times New Roman"/>
          <w:i/>
          <w:sz w:val="24"/>
          <w:szCs w:val="24"/>
        </w:rPr>
        <w:t>most</w:t>
      </w:r>
      <w:r>
        <w:rPr>
          <w:rFonts w:ascii="Times New Roman" w:hAnsi="Times New Roman" w:cs="Times New Roman"/>
          <w:sz w:val="24"/>
          <w:szCs w:val="24"/>
        </w:rPr>
        <w:t>” electioneer</w:t>
      </w:r>
      <w:r w:rsidR="00B070FE">
        <w:rPr>
          <w:rFonts w:ascii="Times New Roman" w:hAnsi="Times New Roman" w:cs="Times New Roman"/>
          <w:sz w:val="24"/>
          <w:szCs w:val="24"/>
        </w:rPr>
        <w:t>ing communications</w:t>
      </w:r>
      <w:r w:rsidR="00400DB1">
        <w:rPr>
          <w:rFonts w:ascii="Times New Roman" w:hAnsi="Times New Roman" w:cs="Times New Roman"/>
          <w:sz w:val="24"/>
          <w:szCs w:val="24"/>
        </w:rPr>
        <w:t xml:space="preserve"> were designed to influence elections</w:t>
      </w:r>
      <w:r w:rsidR="00B070FE">
        <w:rPr>
          <w:rFonts w:ascii="Times New Roman" w:hAnsi="Times New Roman" w:cs="Times New Roman"/>
          <w:sz w:val="24"/>
          <w:szCs w:val="24"/>
        </w:rPr>
        <w:t xml:space="preserve">, the controlling commissioners concluded </w:t>
      </w:r>
      <w:r w:rsidR="00B85364">
        <w:rPr>
          <w:rFonts w:ascii="Times New Roman" w:hAnsi="Times New Roman" w:cs="Times New Roman"/>
          <w:sz w:val="24"/>
          <w:szCs w:val="24"/>
        </w:rPr>
        <w:t xml:space="preserve">that </w:t>
      </w:r>
      <w:r w:rsidR="00B070FE">
        <w:rPr>
          <w:rFonts w:ascii="Times New Roman" w:hAnsi="Times New Roman" w:cs="Times New Roman"/>
          <w:sz w:val="24"/>
          <w:szCs w:val="24"/>
        </w:rPr>
        <w:t>only four of AAN’s twenty types of electioneering communications could</w:t>
      </w:r>
      <w:r w:rsidR="0006635F">
        <w:rPr>
          <w:rFonts w:ascii="Times New Roman" w:hAnsi="Times New Roman" w:cs="Times New Roman"/>
          <w:sz w:val="24"/>
          <w:szCs w:val="24"/>
        </w:rPr>
        <w:t xml:space="preserve"> be treated as election</w:t>
      </w:r>
      <w:r w:rsidR="00B85364">
        <w:rPr>
          <w:rFonts w:ascii="Times New Roman" w:hAnsi="Times New Roman" w:cs="Times New Roman"/>
          <w:sz w:val="24"/>
          <w:szCs w:val="24"/>
        </w:rPr>
        <w:t>-</w:t>
      </w:r>
      <w:r w:rsidR="0006635F">
        <w:rPr>
          <w:rFonts w:ascii="Times New Roman" w:hAnsi="Times New Roman" w:cs="Times New Roman"/>
          <w:sz w:val="24"/>
          <w:szCs w:val="24"/>
        </w:rPr>
        <w:t>related.</w:t>
      </w:r>
      <w:r w:rsidR="00B070FE">
        <w:rPr>
          <w:rFonts w:ascii="Times New Roman" w:hAnsi="Times New Roman" w:cs="Times New Roman"/>
          <w:sz w:val="24"/>
          <w:szCs w:val="24"/>
        </w:rPr>
        <w:t xml:space="preserve">  </w:t>
      </w:r>
      <w:r w:rsidR="00141D60">
        <w:rPr>
          <w:rFonts w:ascii="Times New Roman" w:hAnsi="Times New Roman" w:cs="Times New Roman"/>
          <w:sz w:val="24"/>
          <w:szCs w:val="24"/>
        </w:rPr>
        <w:t>In making this determination, t</w:t>
      </w:r>
      <w:r w:rsidR="0006635F">
        <w:rPr>
          <w:rFonts w:ascii="Times New Roman" w:hAnsi="Times New Roman" w:cs="Times New Roman"/>
          <w:sz w:val="24"/>
          <w:szCs w:val="24"/>
        </w:rPr>
        <w:t>he controlling commissioners</w:t>
      </w:r>
      <w:r w:rsidR="00141D60">
        <w:rPr>
          <w:rFonts w:ascii="Times New Roman" w:hAnsi="Times New Roman" w:cs="Times New Roman"/>
          <w:sz w:val="24"/>
          <w:szCs w:val="24"/>
        </w:rPr>
        <w:t xml:space="preserve"> relied </w:t>
      </w:r>
      <w:r w:rsidR="0006635F">
        <w:rPr>
          <w:rFonts w:ascii="Times New Roman" w:hAnsi="Times New Roman" w:cs="Times New Roman"/>
          <w:sz w:val="24"/>
          <w:szCs w:val="24"/>
        </w:rPr>
        <w:t xml:space="preserve">on impermissible interpretations of law and arbitrary and capricious analyses and, thus, the dismissal was contrary to law. </w:t>
      </w:r>
    </w:p>
    <w:p w14:paraId="07FEE104" w14:textId="7125BDE0" w:rsidR="00B070FE" w:rsidRPr="00493F9C" w:rsidRDefault="00B070FE" w:rsidP="00FC1429">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With regard to AJS, the FEC entirely failed to act on remand.  Despite Judge Cooper’s thirty-day deadline to act passing on October 19, 2016, the FEC has revealed no further action on Plaintiffs</w:t>
      </w:r>
      <w:r w:rsidR="0006635F">
        <w:rPr>
          <w:rFonts w:ascii="Times New Roman" w:hAnsi="Times New Roman" w:cs="Times New Roman"/>
          <w:sz w:val="24"/>
          <w:szCs w:val="24"/>
        </w:rPr>
        <w:t>’</w:t>
      </w:r>
      <w:r>
        <w:rPr>
          <w:rFonts w:ascii="Times New Roman" w:hAnsi="Times New Roman" w:cs="Times New Roman"/>
          <w:sz w:val="24"/>
          <w:szCs w:val="24"/>
        </w:rPr>
        <w:t xml:space="preserve"> complaint against AJS. </w:t>
      </w:r>
      <w:r w:rsidR="0006635F">
        <w:rPr>
          <w:rFonts w:ascii="Times New Roman" w:hAnsi="Times New Roman" w:cs="Times New Roman"/>
          <w:sz w:val="24"/>
          <w:szCs w:val="24"/>
        </w:rPr>
        <w:t xml:space="preserve"> The FEC’s failure to act is contrary to law and, moreover, any decision by the FEC failing to find reason to believe AJS violated the FECA would be contrary to law. </w:t>
      </w:r>
    </w:p>
    <w:p w14:paraId="3C0125A1" w14:textId="0AC74F30" w:rsidR="00385EC6" w:rsidRPr="00493F9C" w:rsidRDefault="00B070FE" w:rsidP="00537CB6">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t xml:space="preserve">Plaintiffs bring the instant action to correct the controlling commissioners’ continued failure to abide by the FECA and to </w:t>
      </w:r>
      <w:r w:rsidR="00141D60">
        <w:rPr>
          <w:rFonts w:ascii="Times New Roman" w:hAnsi="Times New Roman" w:cs="Times New Roman"/>
          <w:sz w:val="24"/>
          <w:szCs w:val="24"/>
        </w:rPr>
        <w:t xml:space="preserve">obtain </w:t>
      </w:r>
      <w:r>
        <w:rPr>
          <w:rFonts w:ascii="Times New Roman" w:hAnsi="Times New Roman" w:cs="Times New Roman"/>
          <w:sz w:val="24"/>
          <w:szCs w:val="24"/>
        </w:rPr>
        <w:t xml:space="preserve">the disclosure the FECA requires of AAN and AJS.  </w:t>
      </w:r>
    </w:p>
    <w:p w14:paraId="130D632A" w14:textId="77777777" w:rsidR="00385EC6" w:rsidRPr="00493F9C" w:rsidRDefault="00C15B27" w:rsidP="00E07251">
      <w:pPr>
        <w:pStyle w:val="NoSpacing"/>
        <w:keepNext/>
        <w:spacing w:line="480" w:lineRule="auto"/>
        <w:jc w:val="center"/>
        <w:rPr>
          <w:rFonts w:ascii="Times New Roman" w:eastAsia="Times New Roman" w:hAnsi="Times New Roman" w:cs="Times New Roman"/>
          <w:b/>
          <w:bCs/>
          <w:sz w:val="24"/>
          <w:szCs w:val="24"/>
          <w:u w:val="single"/>
        </w:rPr>
      </w:pPr>
      <w:r w:rsidRPr="00493F9C">
        <w:rPr>
          <w:rFonts w:ascii="Times New Roman" w:hAnsi="Times New Roman" w:cs="Times New Roman"/>
          <w:b/>
          <w:bCs/>
          <w:sz w:val="24"/>
          <w:szCs w:val="24"/>
          <w:u w:val="single"/>
        </w:rPr>
        <w:t>JURISDICTION AND VENUE</w:t>
      </w:r>
    </w:p>
    <w:p w14:paraId="03A1F54A" w14:textId="503CE344"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This Court has both subject matter jurisdiction over this action and personal jurisdiction over the parties pursuant to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8)(A).  This Court also has jurisdiction over this action pursuant to 28 U.S.C. § 1331, and 28 U.S.C. §§ 2201(a) and 2202.  Venue lies in this district under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8)(A) and 28 U.S.C. § 1391(e).</w:t>
      </w:r>
    </w:p>
    <w:p w14:paraId="774BBFBE" w14:textId="77777777" w:rsidR="00385EC6" w:rsidRPr="00493F9C" w:rsidRDefault="00C15B27" w:rsidP="00E07251">
      <w:pPr>
        <w:pStyle w:val="NoSpacing"/>
        <w:spacing w:line="480" w:lineRule="auto"/>
        <w:jc w:val="center"/>
        <w:rPr>
          <w:rFonts w:ascii="Times New Roman" w:eastAsia="Times New Roman" w:hAnsi="Times New Roman" w:cs="Times New Roman"/>
          <w:b/>
          <w:bCs/>
          <w:sz w:val="24"/>
          <w:szCs w:val="24"/>
          <w:u w:val="single"/>
        </w:rPr>
      </w:pPr>
      <w:r w:rsidRPr="00493F9C">
        <w:rPr>
          <w:rFonts w:ascii="Times New Roman" w:hAnsi="Times New Roman" w:cs="Times New Roman"/>
          <w:b/>
          <w:bCs/>
          <w:sz w:val="24"/>
          <w:szCs w:val="24"/>
          <w:u w:val="single"/>
        </w:rPr>
        <w:t>PARTIES</w:t>
      </w:r>
    </w:p>
    <w:p w14:paraId="3007CE24" w14:textId="77777777"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Plaintiff CREW is a non-profit, non-partisan corporation organized under section 501(c</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 xml:space="preserve">3) of the Internal Revenue Code.  </w:t>
      </w:r>
    </w:p>
    <w:p w14:paraId="367C0722" w14:textId="23543F21"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CREW is committed to protecting the rights of citizens to be informed about the activities of government officials, ensuring the integrity of government officials, protecting our political system against corruption</w:t>
      </w:r>
      <w:r w:rsidR="004F5EEC" w:rsidRPr="00493F9C">
        <w:rPr>
          <w:rFonts w:ascii="Times New Roman" w:hAnsi="Times New Roman" w:cs="Times New Roman"/>
          <w:sz w:val="24"/>
          <w:szCs w:val="24"/>
        </w:rPr>
        <w:t>, and reducing the influence of money in politics</w:t>
      </w:r>
      <w:r w:rsidRPr="00493F9C">
        <w:rPr>
          <w:rFonts w:ascii="Times New Roman" w:hAnsi="Times New Roman" w:cs="Times New Roman"/>
          <w:sz w:val="24"/>
          <w:szCs w:val="24"/>
        </w:rPr>
        <w:t>.  CREW works to advance reforms in the areas of campaign finance, lobbying, ethics, and transparency.  Further, CREW seeks to ensure campaign finance laws are properly interpreted, enforced, and implemented.</w:t>
      </w:r>
    </w:p>
    <w:p w14:paraId="4F2A64D7" w14:textId="60DBF5C1"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lastRenderedPageBreak/>
        <w:t>To advance its mission, CREW uses a combination of research, litigation, advocacy, and public education to disseminate information to the public about public officials and their actions, and the outside influences that have been brought to bear on those actions.  A core part of this work is examining and exposing the special interests that have influenced our elections and elected officials and using that information to educate voters regarding the integrity of public officials, candidates for public office, the electoral process</w:t>
      </w:r>
      <w:r w:rsidR="00141D60">
        <w:rPr>
          <w:rFonts w:ascii="Times New Roman" w:hAnsi="Times New Roman" w:cs="Times New Roman"/>
          <w:sz w:val="24"/>
          <w:szCs w:val="24"/>
        </w:rPr>
        <w:t>,</w:t>
      </w:r>
      <w:r w:rsidRPr="00493F9C">
        <w:rPr>
          <w:rFonts w:ascii="Times New Roman" w:hAnsi="Times New Roman" w:cs="Times New Roman"/>
          <w:sz w:val="24"/>
          <w:szCs w:val="24"/>
        </w:rPr>
        <w:t xml:space="preserve"> and our system of government.</w:t>
      </w:r>
    </w:p>
    <w:p w14:paraId="286B5C81" w14:textId="3AE9BA59"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Toward this end, CREW monitors the activities of those who run for federal office as well as those groups financially supporting candidates for office or advocating for or against their election.  CREW regularly reviews campaign finance reports </w:t>
      </w:r>
      <w:r w:rsidR="004F5EEC" w:rsidRPr="00493F9C">
        <w:rPr>
          <w:rFonts w:ascii="Times New Roman" w:hAnsi="Times New Roman" w:cs="Times New Roman"/>
          <w:sz w:val="24"/>
          <w:szCs w:val="24"/>
        </w:rPr>
        <w:t xml:space="preserve">that </w:t>
      </w:r>
      <w:r w:rsidRPr="00493F9C">
        <w:rPr>
          <w:rFonts w:ascii="Times New Roman" w:hAnsi="Times New Roman" w:cs="Times New Roman"/>
          <w:sz w:val="24"/>
          <w:szCs w:val="24"/>
        </w:rPr>
        <w:t>groups, candidates, and political parties file with the FEC disclos</w:t>
      </w:r>
      <w:r w:rsidR="004F5EEC" w:rsidRPr="00493F9C">
        <w:rPr>
          <w:rFonts w:ascii="Times New Roman" w:hAnsi="Times New Roman" w:cs="Times New Roman"/>
          <w:sz w:val="24"/>
          <w:szCs w:val="24"/>
        </w:rPr>
        <w:t>ing</w:t>
      </w:r>
      <w:r w:rsidRPr="00493F9C">
        <w:rPr>
          <w:rFonts w:ascii="Times New Roman" w:hAnsi="Times New Roman" w:cs="Times New Roman"/>
          <w:sz w:val="24"/>
          <w:szCs w:val="24"/>
        </w:rPr>
        <w:t xml:space="preserve"> their expenditures and, in some cases, their contributors.  Using the information in those reports CREW, through its website, press releases, reports, and other methods of distribution, publicizes the role of these individuals and entities in the electoral process and the extent to which they have violated federal campaign finance laws.</w:t>
      </w:r>
    </w:p>
    <w:p w14:paraId="39C896E2" w14:textId="77777777"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CREW also files complaints with the FEC when it discovers violations of the FECA.  Publicizing violations of the FECA and filing complaints with the FEC serve CREW’s mission of keeping the public, and voters in particular, informed about individuals and entities that violate campaign finance laws and deterring future violations of campaign finance laws.</w:t>
      </w:r>
    </w:p>
    <w:p w14:paraId="5F5123A8" w14:textId="75E5E8EC"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CREW is hindered in carrying out its core programmatic activities when those individuals and entities that attempt to influence elections and elected officials are able to keep their identities hidden.  Likewise, the FEC’s refusal to properly administer the campaign finance laws, particularly the FECA’s reporting requirements, hinders CREW in its programmatic activity, as compliance with those reporting requirements often provides CREW with the only </w:t>
      </w:r>
      <w:r w:rsidRPr="00493F9C">
        <w:rPr>
          <w:rFonts w:ascii="Times New Roman" w:hAnsi="Times New Roman" w:cs="Times New Roman"/>
          <w:sz w:val="24"/>
          <w:szCs w:val="24"/>
        </w:rPr>
        <w:lastRenderedPageBreak/>
        <w:t xml:space="preserve">source of information about those individuals and groups funding the political process.  As a result of the FEC’s refusal to enforce the FECA’s disclosure provisions, organizations like </w:t>
      </w:r>
      <w:r w:rsidR="00CE38F6">
        <w:rPr>
          <w:rFonts w:ascii="Times New Roman" w:hAnsi="Times New Roman" w:cs="Times New Roman"/>
          <w:sz w:val="24"/>
          <w:szCs w:val="24"/>
        </w:rPr>
        <w:t>AAN and AJS</w:t>
      </w:r>
      <w:r w:rsidRPr="00493F9C">
        <w:rPr>
          <w:rFonts w:ascii="Times New Roman" w:hAnsi="Times New Roman" w:cs="Times New Roman"/>
          <w:sz w:val="24"/>
          <w:szCs w:val="24"/>
        </w:rPr>
        <w:t xml:space="preserve"> have been able to pour vast amounts of “dark” or anonymous money into the political system without revealing the source of that money.  This deprives CREW of information critical to advancing its ongoing mission of educating the public to ensure the public continues to have a vital voice in our political process and government decisions.</w:t>
      </w:r>
    </w:p>
    <w:p w14:paraId="46D1CFC7" w14:textId="706FFDFE"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A part of CREW’s work in carrying out its central mission focuses on so-called “pay-to-play” schemes.  Toward that end, CREW looks for correlations between donations to the campaign of a member of Congress or candidate and that member’s subsequent congressional activities, including pushing issues and legislation that serve the interests of the member’s donors.  Information that an individual or entity made a large dollar contribution may be very revealing about the influences that donor has brought to bear on the member post-election.  Without information about the individuals and entities funding the political activities of organizations like </w:t>
      </w:r>
      <w:r w:rsidR="00CE38F6">
        <w:rPr>
          <w:rFonts w:ascii="Times New Roman" w:hAnsi="Times New Roman" w:cs="Times New Roman"/>
          <w:sz w:val="24"/>
          <w:szCs w:val="24"/>
        </w:rPr>
        <w:t>AAN and AJS</w:t>
      </w:r>
      <w:r w:rsidRPr="00493F9C">
        <w:rPr>
          <w:rFonts w:ascii="Times New Roman" w:hAnsi="Times New Roman" w:cs="Times New Roman"/>
          <w:sz w:val="24"/>
          <w:szCs w:val="24"/>
        </w:rPr>
        <w:t xml:space="preserve">, CREW is stymied in fulfilling its central mission.  </w:t>
      </w:r>
    </w:p>
    <w:p w14:paraId="7A1CE6C5" w14:textId="77777777"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As an example, in May 2013, CREW issued a report, </w:t>
      </w:r>
      <w:r w:rsidRPr="00493F9C">
        <w:rPr>
          <w:rFonts w:ascii="Times New Roman" w:hAnsi="Times New Roman" w:cs="Times New Roman"/>
          <w:i/>
          <w:iCs/>
          <w:sz w:val="24"/>
          <w:szCs w:val="24"/>
        </w:rPr>
        <w:t>Rise of the Machines</w:t>
      </w:r>
      <w:r w:rsidRPr="00493F9C">
        <w:rPr>
          <w:rFonts w:ascii="Times New Roman" w:hAnsi="Times New Roman" w:cs="Times New Roman"/>
          <w:sz w:val="24"/>
          <w:szCs w:val="24"/>
        </w:rPr>
        <w:t xml:space="preserve">, detailing the growing political influence of high frequency traders in Washington.  CREW’s analysis was based in large part on the lobbying and campaign contribution records of 48 companies specializing in high frequency trading.  That data revealed that between the 2008 and 2012 election cycles, the campaign contributions of these firms increased by 673 percent, from $2.1 million during the 2008 election cycle to $16.1 million during the 2012 cycle.  CREW was able to obtain this information because of the disclosure requirements to which the organizations receiving those contributions—federal candidates, party committees, PACs, and super PACs—are subject under the FECA. </w:t>
      </w:r>
    </w:p>
    <w:p w14:paraId="2360900B" w14:textId="77777777" w:rsidR="00C27A4B" w:rsidRDefault="00C15B27" w:rsidP="00C27A4B">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lastRenderedPageBreak/>
        <w:t xml:space="preserve">As another example, CREW published </w:t>
      </w:r>
      <w:r w:rsidRPr="00493F9C">
        <w:rPr>
          <w:rFonts w:ascii="Times New Roman" w:hAnsi="Times New Roman" w:cs="Times New Roman"/>
          <w:i/>
          <w:iCs/>
          <w:sz w:val="24"/>
          <w:szCs w:val="24"/>
        </w:rPr>
        <w:t>Stealth Donors</w:t>
      </w:r>
      <w:r w:rsidRPr="00493F9C">
        <w:rPr>
          <w:rFonts w:ascii="Times New Roman" w:hAnsi="Times New Roman" w:cs="Times New Roman"/>
          <w:sz w:val="24"/>
          <w:szCs w:val="24"/>
        </w:rPr>
        <w:t>, a December 2012 report on donors who gave more than $1,000,000 to super PACs trying to influence the 2012 election.  The report revealed a dozen donors with policy or business interests that depended on the outcome of the elections, but whose efforts to sway voters largely were out of the public view.  CREW obtained the information used in this report from information the FECA requires political committees to disclose.</w:t>
      </w:r>
    </w:p>
    <w:p w14:paraId="053FB6B9" w14:textId="07C76295" w:rsidR="00C27A4B" w:rsidRPr="00134326" w:rsidRDefault="00C27A4B" w:rsidP="00C27A4B">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134326">
        <w:rPr>
          <w:rFonts w:ascii="Times New Roman" w:hAnsi="Times New Roman" w:cs="Times New Roman"/>
          <w:sz w:val="24"/>
          <w:szCs w:val="24"/>
        </w:rPr>
        <w:t xml:space="preserve">CREW continually posts new </w:t>
      </w:r>
      <w:r w:rsidR="00FE6D94" w:rsidRPr="00134326">
        <w:rPr>
          <w:rFonts w:ascii="Times New Roman" w:hAnsi="Times New Roman" w:cs="Times New Roman"/>
          <w:sz w:val="24"/>
          <w:szCs w:val="24"/>
        </w:rPr>
        <w:t>materials</w:t>
      </w:r>
      <w:r w:rsidRPr="00134326">
        <w:rPr>
          <w:rFonts w:ascii="Times New Roman" w:hAnsi="Times New Roman" w:cs="Times New Roman"/>
          <w:sz w:val="24"/>
          <w:szCs w:val="24"/>
        </w:rPr>
        <w:t xml:space="preserve"> describing the results of its research on its website, </w:t>
      </w:r>
      <w:hyperlink r:id="rId8" w:history="1">
        <w:r w:rsidRPr="00134326">
          <w:rPr>
            <w:rStyle w:val="Hyperlink"/>
            <w:rFonts w:ascii="Times New Roman" w:hAnsi="Times New Roman" w:cs="Times New Roman"/>
            <w:sz w:val="24"/>
            <w:szCs w:val="24"/>
          </w:rPr>
          <w:t>www.citizensforethics.org</w:t>
        </w:r>
      </w:hyperlink>
      <w:r w:rsidRPr="00134326">
        <w:rPr>
          <w:rFonts w:ascii="Times New Roman" w:hAnsi="Times New Roman" w:cs="Times New Roman"/>
          <w:sz w:val="24"/>
          <w:szCs w:val="24"/>
        </w:rPr>
        <w:t xml:space="preserve">/.  </w:t>
      </w:r>
      <w:r w:rsidR="00FE6D94" w:rsidRPr="00134326">
        <w:rPr>
          <w:rFonts w:ascii="Times New Roman" w:hAnsi="Times New Roman" w:cs="Times New Roman"/>
          <w:sz w:val="24"/>
          <w:szCs w:val="24"/>
        </w:rPr>
        <w:t xml:space="preserve">For example, </w:t>
      </w:r>
      <w:r w:rsidR="00141D60" w:rsidRPr="00134326">
        <w:rPr>
          <w:rFonts w:ascii="Times New Roman" w:hAnsi="Times New Roman" w:cs="Times New Roman"/>
          <w:sz w:val="24"/>
          <w:szCs w:val="24"/>
        </w:rPr>
        <w:t xml:space="preserve">when </w:t>
      </w:r>
      <w:r w:rsidRPr="00134326">
        <w:rPr>
          <w:rFonts w:ascii="Times New Roman" w:hAnsi="Times New Roman" w:cs="Times New Roman"/>
          <w:sz w:val="24"/>
          <w:szCs w:val="24"/>
        </w:rPr>
        <w:t xml:space="preserve">CREW </w:t>
      </w:r>
      <w:r w:rsidR="00DC74DB" w:rsidRPr="00134326">
        <w:rPr>
          <w:rFonts w:ascii="Times New Roman" w:hAnsi="Times New Roman" w:cs="Times New Roman"/>
          <w:sz w:val="24"/>
          <w:szCs w:val="24"/>
        </w:rPr>
        <w:t>learns</w:t>
      </w:r>
      <w:r w:rsidRPr="00134326">
        <w:rPr>
          <w:rFonts w:ascii="Times New Roman" w:hAnsi="Times New Roman" w:cs="Times New Roman"/>
          <w:sz w:val="24"/>
          <w:szCs w:val="24"/>
        </w:rPr>
        <w:t xml:space="preserve"> the identity of a contributor to a dark money group like AAN or AJS, CREW publicizes that information.  </w:t>
      </w:r>
      <w:r w:rsidRPr="00134326">
        <w:rPr>
          <w:rFonts w:ascii="Times New Roman" w:hAnsi="Times New Roman" w:cs="Times New Roman"/>
          <w:i/>
          <w:sz w:val="24"/>
          <w:szCs w:val="24"/>
        </w:rPr>
        <w:t>See, e.g.</w:t>
      </w:r>
      <w:r w:rsidRPr="00134326">
        <w:rPr>
          <w:rFonts w:ascii="Times New Roman" w:hAnsi="Times New Roman" w:cs="Times New Roman"/>
          <w:sz w:val="24"/>
          <w:szCs w:val="24"/>
        </w:rPr>
        <w:t xml:space="preserve">, Carrie Levine, </w:t>
      </w:r>
      <w:r w:rsidRPr="00134326">
        <w:rPr>
          <w:rFonts w:ascii="Times New Roman" w:hAnsi="Times New Roman" w:cs="Times New Roman"/>
          <w:sz w:val="24"/>
          <w:szCs w:val="24"/>
          <w:u w:val="single"/>
        </w:rPr>
        <w:t>HCSC Lobbyist Unmasked as American Action Network Donor</w:t>
      </w:r>
      <w:r w:rsidRPr="00134326">
        <w:rPr>
          <w:rFonts w:ascii="Times New Roman" w:hAnsi="Times New Roman" w:cs="Times New Roman"/>
          <w:sz w:val="24"/>
          <w:szCs w:val="24"/>
        </w:rPr>
        <w:t xml:space="preserve">, CREW (Oct. 7, 2014), </w:t>
      </w:r>
      <w:r w:rsidRPr="00134326">
        <w:rPr>
          <w:rFonts w:ascii="Times New Roman" w:hAnsi="Times New Roman" w:cs="Times New Roman"/>
          <w:i/>
          <w:sz w:val="24"/>
          <w:szCs w:val="24"/>
        </w:rPr>
        <w:t xml:space="preserve">available at </w:t>
      </w:r>
      <w:hyperlink r:id="rId9" w:history="1">
        <w:r w:rsidRPr="00134326">
          <w:rPr>
            <w:rStyle w:val="Hyperlink"/>
            <w:rFonts w:ascii="Times New Roman" w:hAnsi="Times New Roman" w:cs="Times New Roman"/>
            <w:sz w:val="24"/>
            <w:szCs w:val="24"/>
          </w:rPr>
          <w:t>http://www.citizensforethics.org/hcsc-lobbyist-unmasked-as-american-action-network-donor/</w:t>
        </w:r>
      </w:hyperlink>
      <w:r w:rsidR="00F20C94" w:rsidRPr="00134326">
        <w:rPr>
          <w:rStyle w:val="Hyperlink"/>
          <w:rFonts w:ascii="Times New Roman" w:hAnsi="Times New Roman" w:cs="Times New Roman"/>
          <w:sz w:val="24"/>
          <w:szCs w:val="24"/>
          <w:u w:val="none"/>
        </w:rPr>
        <w:t xml:space="preserve"> (publicizing identity of single AAN contributor accidentally revealed during a deposition)</w:t>
      </w:r>
      <w:r w:rsidRPr="00134326">
        <w:rPr>
          <w:rFonts w:ascii="Times New Roman" w:hAnsi="Times New Roman" w:cs="Times New Roman"/>
          <w:sz w:val="24"/>
          <w:szCs w:val="24"/>
        </w:rPr>
        <w:t>.</w:t>
      </w:r>
    </w:p>
    <w:p w14:paraId="1BA8096B" w14:textId="7C3F179A"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For organization</w:t>
      </w:r>
      <w:r w:rsidR="009C113F">
        <w:rPr>
          <w:rFonts w:ascii="Times New Roman" w:hAnsi="Times New Roman" w:cs="Times New Roman"/>
          <w:sz w:val="24"/>
          <w:szCs w:val="24"/>
        </w:rPr>
        <w:t>s</w:t>
      </w:r>
      <w:r w:rsidRPr="00493F9C">
        <w:rPr>
          <w:rFonts w:ascii="Times New Roman" w:hAnsi="Times New Roman" w:cs="Times New Roman"/>
          <w:sz w:val="24"/>
          <w:szCs w:val="24"/>
        </w:rPr>
        <w:t xml:space="preserve"> like </w:t>
      </w:r>
      <w:r w:rsidR="009C113F">
        <w:rPr>
          <w:rFonts w:ascii="Times New Roman" w:hAnsi="Times New Roman" w:cs="Times New Roman"/>
          <w:sz w:val="24"/>
          <w:szCs w:val="24"/>
        </w:rPr>
        <w:t>AAN and AJS</w:t>
      </w:r>
      <w:r w:rsidRPr="00493F9C">
        <w:rPr>
          <w:rFonts w:ascii="Times New Roman" w:hAnsi="Times New Roman" w:cs="Times New Roman"/>
          <w:sz w:val="24"/>
          <w:szCs w:val="24"/>
        </w:rPr>
        <w:t xml:space="preserve"> that refuse </w:t>
      </w:r>
      <w:r w:rsidR="009C113F">
        <w:rPr>
          <w:rFonts w:ascii="Times New Roman" w:hAnsi="Times New Roman" w:cs="Times New Roman"/>
          <w:sz w:val="24"/>
          <w:szCs w:val="24"/>
        </w:rPr>
        <w:t>t</w:t>
      </w:r>
      <w:r w:rsidRPr="00493F9C">
        <w:rPr>
          <w:rFonts w:ascii="Times New Roman" w:hAnsi="Times New Roman" w:cs="Times New Roman"/>
          <w:sz w:val="24"/>
          <w:szCs w:val="24"/>
        </w:rPr>
        <w:t xml:space="preserve">o identify </w:t>
      </w:r>
      <w:r w:rsidR="009C113F">
        <w:rPr>
          <w:rFonts w:ascii="Times New Roman" w:hAnsi="Times New Roman" w:cs="Times New Roman"/>
          <w:sz w:val="24"/>
          <w:szCs w:val="24"/>
        </w:rPr>
        <w:t xml:space="preserve">themselves </w:t>
      </w:r>
      <w:r w:rsidRPr="00493F9C">
        <w:rPr>
          <w:rFonts w:ascii="Times New Roman" w:hAnsi="Times New Roman" w:cs="Times New Roman"/>
          <w:sz w:val="24"/>
          <w:szCs w:val="24"/>
        </w:rPr>
        <w:t>as political committee</w:t>
      </w:r>
      <w:r w:rsidR="009C113F">
        <w:rPr>
          <w:rFonts w:ascii="Times New Roman" w:hAnsi="Times New Roman" w:cs="Times New Roman"/>
          <w:sz w:val="24"/>
          <w:szCs w:val="24"/>
        </w:rPr>
        <w:t>s</w:t>
      </w:r>
      <w:r w:rsidRPr="00493F9C">
        <w:rPr>
          <w:rFonts w:ascii="Times New Roman" w:hAnsi="Times New Roman" w:cs="Times New Roman"/>
          <w:sz w:val="24"/>
          <w:szCs w:val="24"/>
        </w:rPr>
        <w:t xml:space="preserve"> and comply with the FECA’s disclosure requirements, CREW has no access to </w:t>
      </w:r>
      <w:r w:rsidRPr="0034638A">
        <w:rPr>
          <w:rFonts w:ascii="Times New Roman" w:hAnsi="Times New Roman" w:cs="Times New Roman"/>
          <w:sz w:val="24"/>
          <w:szCs w:val="24"/>
        </w:rPr>
        <w:t xml:space="preserve">information </w:t>
      </w:r>
      <w:r w:rsidR="00141D60" w:rsidRPr="0034638A">
        <w:rPr>
          <w:rFonts w:ascii="Times New Roman" w:hAnsi="Times New Roman" w:cs="Times New Roman"/>
          <w:sz w:val="24"/>
          <w:szCs w:val="24"/>
        </w:rPr>
        <w:t xml:space="preserve">comprehensively </w:t>
      </w:r>
      <w:r w:rsidRPr="0034638A">
        <w:rPr>
          <w:rFonts w:ascii="Times New Roman" w:hAnsi="Times New Roman" w:cs="Times New Roman"/>
          <w:sz w:val="24"/>
          <w:szCs w:val="24"/>
        </w:rPr>
        <w:t xml:space="preserve">detailing </w:t>
      </w:r>
      <w:r w:rsidR="009C113F" w:rsidRPr="00896219">
        <w:rPr>
          <w:rFonts w:ascii="Times New Roman" w:hAnsi="Times New Roman" w:cs="Times New Roman"/>
          <w:sz w:val="24"/>
          <w:szCs w:val="24"/>
        </w:rPr>
        <w:t>the sources of the money they are</w:t>
      </w:r>
      <w:r w:rsidRPr="00896219">
        <w:rPr>
          <w:rFonts w:ascii="Times New Roman" w:hAnsi="Times New Roman" w:cs="Times New Roman"/>
          <w:sz w:val="24"/>
          <w:szCs w:val="24"/>
        </w:rPr>
        <w:t xml:space="preserve"> using for </w:t>
      </w:r>
      <w:r w:rsidR="009C113F" w:rsidRPr="00896219">
        <w:rPr>
          <w:rFonts w:ascii="Times New Roman" w:hAnsi="Times New Roman" w:cs="Times New Roman"/>
          <w:sz w:val="24"/>
          <w:szCs w:val="24"/>
        </w:rPr>
        <w:t>political purposes</w:t>
      </w:r>
      <w:r w:rsidRPr="00896219">
        <w:rPr>
          <w:rFonts w:ascii="Times New Roman" w:hAnsi="Times New Roman" w:cs="Times New Roman"/>
          <w:sz w:val="24"/>
          <w:szCs w:val="24"/>
        </w:rPr>
        <w:t xml:space="preserve">. </w:t>
      </w:r>
      <w:r w:rsidR="0076159C" w:rsidRPr="00134326">
        <w:rPr>
          <w:rFonts w:ascii="Times New Roman" w:hAnsi="Times New Roman" w:cs="Times New Roman"/>
          <w:sz w:val="24"/>
          <w:szCs w:val="24"/>
        </w:rPr>
        <w:t xml:space="preserve">CREW would share the information it received about AAN’s and AJS’s contributors with voters nationwide, but is unable to do so because AAN and AJS have not made that information available.  </w:t>
      </w:r>
      <w:r w:rsidRPr="00134326">
        <w:rPr>
          <w:rFonts w:ascii="Times New Roman" w:hAnsi="Times New Roman" w:cs="Times New Roman"/>
          <w:sz w:val="24"/>
          <w:szCs w:val="24"/>
        </w:rPr>
        <w:t>As</w:t>
      </w:r>
      <w:r w:rsidRPr="0034638A">
        <w:rPr>
          <w:rFonts w:ascii="Times New Roman" w:hAnsi="Times New Roman" w:cs="Times New Roman"/>
          <w:sz w:val="24"/>
          <w:szCs w:val="24"/>
        </w:rPr>
        <w:t xml:space="preserve"> a result</w:t>
      </w:r>
      <w:r w:rsidRPr="00493F9C">
        <w:rPr>
          <w:rFonts w:ascii="Times New Roman" w:hAnsi="Times New Roman" w:cs="Times New Roman"/>
          <w:sz w:val="24"/>
          <w:szCs w:val="24"/>
        </w:rPr>
        <w:t>, CREW is harmed when the FEC fails to properly administer the FECA, particularly the statute’s reporting requirements, thereby limiting CREW’s ability to obtain and review campaign finance information.</w:t>
      </w:r>
    </w:p>
    <w:p w14:paraId="187E1BF3" w14:textId="0AB036B0" w:rsidR="00385EC6" w:rsidRPr="00493F9C" w:rsidRDefault="007A3F02"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At the time CREW filed its admin</w:t>
      </w:r>
      <w:r w:rsidR="00CE38F6">
        <w:rPr>
          <w:rFonts w:ascii="Times New Roman" w:hAnsi="Times New Roman" w:cs="Times New Roman"/>
          <w:sz w:val="24"/>
          <w:szCs w:val="24"/>
        </w:rPr>
        <w:t>istrative complaints against AAN and AJS</w:t>
      </w:r>
      <w:r w:rsidRPr="00493F9C">
        <w:rPr>
          <w:rFonts w:ascii="Times New Roman" w:hAnsi="Times New Roman" w:cs="Times New Roman"/>
          <w:sz w:val="24"/>
          <w:szCs w:val="24"/>
        </w:rPr>
        <w:t>, p</w:t>
      </w:r>
      <w:r w:rsidR="00C15B27" w:rsidRPr="00493F9C">
        <w:rPr>
          <w:rFonts w:ascii="Times New Roman" w:hAnsi="Times New Roman" w:cs="Times New Roman"/>
          <w:sz w:val="24"/>
          <w:szCs w:val="24"/>
        </w:rPr>
        <w:t xml:space="preserve">laintiff Melanie Sloan was the executive director of CREW.  </w:t>
      </w:r>
      <w:r w:rsidR="00BC2C16" w:rsidRPr="00493F9C">
        <w:rPr>
          <w:rFonts w:ascii="Times New Roman" w:hAnsi="Times New Roman" w:cs="Times New Roman"/>
          <w:sz w:val="24"/>
          <w:szCs w:val="24"/>
        </w:rPr>
        <w:t>She is a</w:t>
      </w:r>
      <w:r w:rsidR="00C15B27" w:rsidRPr="00493F9C">
        <w:rPr>
          <w:rFonts w:ascii="Times New Roman" w:hAnsi="Times New Roman" w:cs="Times New Roman"/>
          <w:sz w:val="24"/>
          <w:szCs w:val="24"/>
        </w:rPr>
        <w:t xml:space="preserve"> citizen of the United </w:t>
      </w:r>
      <w:r w:rsidR="00C15B27" w:rsidRPr="00493F9C">
        <w:rPr>
          <w:rFonts w:ascii="Times New Roman" w:hAnsi="Times New Roman" w:cs="Times New Roman"/>
          <w:sz w:val="24"/>
          <w:szCs w:val="24"/>
        </w:rPr>
        <w:lastRenderedPageBreak/>
        <w:t xml:space="preserve">States and a registered voter and resident of the District of Columbia.  As a registered voter, Ms. Sloan is entitled to receive all the information the FECA requires political committees to report publicly and to the FEC’s proper administration of the provisions of the FECA.  Ms. Sloan is harmed in exercising her right to an informed vote when a person fails to disclose </w:t>
      </w:r>
      <w:r w:rsidR="004F5EEC" w:rsidRPr="00493F9C">
        <w:rPr>
          <w:rFonts w:ascii="Times New Roman" w:hAnsi="Times New Roman" w:cs="Times New Roman"/>
          <w:sz w:val="24"/>
          <w:szCs w:val="24"/>
        </w:rPr>
        <w:t xml:space="preserve">his or her </w:t>
      </w:r>
      <w:r w:rsidR="00C15B27" w:rsidRPr="00493F9C">
        <w:rPr>
          <w:rFonts w:ascii="Times New Roman" w:hAnsi="Times New Roman" w:cs="Times New Roman"/>
          <w:sz w:val="24"/>
          <w:szCs w:val="24"/>
        </w:rPr>
        <w:t xml:space="preserve">spending on independent expenditures and electioneering communications and when a political committee fails to disclose the source of its funds used for political activities, as the FECA requires. </w:t>
      </w:r>
    </w:p>
    <w:p w14:paraId="3902F718" w14:textId="3747AF98"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Ms. Sloan also is personally committed to ensuring the integrity of federal elections.  Toward that end, Ms. Sloan reviews campaign finance filings and media reports to determine whether candidates and political committees are complying with the FECA’s requirements.  </w:t>
      </w:r>
      <w:r w:rsidR="0076159C" w:rsidRPr="006035EC">
        <w:rPr>
          <w:rFonts w:ascii="Times New Roman" w:hAnsi="Times New Roman" w:cs="Times New Roman"/>
          <w:sz w:val="24"/>
          <w:szCs w:val="24"/>
        </w:rPr>
        <w:t>As with CREW, Ms. Sloan would share the information she received with other voters.</w:t>
      </w:r>
      <w:r w:rsidR="0076159C">
        <w:rPr>
          <w:rFonts w:ascii="Times New Roman" w:hAnsi="Times New Roman" w:cs="Times New Roman"/>
          <w:sz w:val="24"/>
          <w:szCs w:val="24"/>
        </w:rPr>
        <w:t xml:space="preserve"> </w:t>
      </w:r>
    </w:p>
    <w:p w14:paraId="1CDF0253" w14:textId="608D0743" w:rsidR="00385EC6" w:rsidRPr="00493F9C" w:rsidRDefault="00C15B27" w:rsidP="00BC2C16">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When CREW and Ms. Sloan file complaints against violators of the FECA, they rely on the FEC, as the exclusive civil enforcement authority, to comply strictly with the FECA when making its enforcement decisions.  </w:t>
      </w:r>
      <w:r w:rsidRPr="00493F9C">
        <w:rPr>
          <w:rFonts w:ascii="Times New Roman" w:hAnsi="Times New Roman" w:cs="Times New Roman"/>
          <w:i/>
          <w:iCs/>
          <w:sz w:val="24"/>
          <w:szCs w:val="24"/>
        </w:rPr>
        <w:t>See</w:t>
      </w:r>
      <w:r w:rsidRPr="00493F9C">
        <w:rPr>
          <w:rFonts w:ascii="Times New Roman" w:hAnsi="Times New Roman" w:cs="Times New Roman"/>
          <w:sz w:val="24"/>
          <w:szCs w:val="24"/>
        </w:rPr>
        <w:t xml:space="preserve"> 52 U.S.C. § 30107(e).  CREW and Ms. Sloan are harmed and are “aggrieved” parties when the FEC dismisses their complaints contrary to the FECA, refuses to enforce the FECA’s mandatory disclosure requirements, or otherwise acts contrary to the requirements of the FECA.  </w:t>
      </w:r>
      <w:r w:rsidR="00440D66" w:rsidRPr="00493F9C">
        <w:rPr>
          <w:rFonts w:ascii="Times New Roman" w:hAnsi="Times New Roman" w:cs="Times New Roman"/>
          <w:i/>
          <w:sz w:val="24"/>
          <w:szCs w:val="24"/>
        </w:rPr>
        <w:t>See</w:t>
      </w:r>
      <w:r w:rsidR="00440D66" w:rsidRPr="00493F9C">
        <w:rPr>
          <w:rFonts w:ascii="Times New Roman" w:hAnsi="Times New Roman" w:cs="Times New Roman"/>
          <w:sz w:val="24"/>
          <w:szCs w:val="24"/>
        </w:rPr>
        <w:t xml:space="preserve"> </w:t>
      </w:r>
      <w:r w:rsidRPr="00493F9C">
        <w:rPr>
          <w:rFonts w:ascii="Times New Roman" w:hAnsi="Times New Roman" w:cs="Times New Roman"/>
          <w:sz w:val="24"/>
          <w:szCs w:val="24"/>
        </w:rPr>
        <w:t>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8)(C).</w:t>
      </w:r>
    </w:p>
    <w:p w14:paraId="3268DF5A" w14:textId="0CAE0B5E"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Defendant FEC is </w:t>
      </w:r>
      <w:r w:rsidR="00440D66" w:rsidRPr="00493F9C">
        <w:rPr>
          <w:rFonts w:ascii="Times New Roman" w:hAnsi="Times New Roman" w:cs="Times New Roman"/>
          <w:sz w:val="24"/>
          <w:szCs w:val="24"/>
        </w:rPr>
        <w:t xml:space="preserve">the federal </w:t>
      </w:r>
      <w:r w:rsidRPr="00493F9C">
        <w:rPr>
          <w:rFonts w:ascii="Times New Roman" w:hAnsi="Times New Roman" w:cs="Times New Roman"/>
          <w:sz w:val="24"/>
          <w:szCs w:val="24"/>
        </w:rPr>
        <w:t xml:space="preserve">agency established by Congress to oversee the administration and civil enforcement of the FECA.  </w:t>
      </w:r>
      <w:r w:rsidRPr="00493F9C">
        <w:rPr>
          <w:rFonts w:ascii="Times New Roman" w:hAnsi="Times New Roman" w:cs="Times New Roman"/>
          <w:i/>
          <w:iCs/>
          <w:sz w:val="24"/>
          <w:szCs w:val="24"/>
        </w:rPr>
        <w:t>See</w:t>
      </w:r>
      <w:r w:rsidRPr="00493F9C">
        <w:rPr>
          <w:rFonts w:ascii="Times New Roman" w:hAnsi="Times New Roman" w:cs="Times New Roman"/>
          <w:sz w:val="24"/>
          <w:szCs w:val="24"/>
        </w:rPr>
        <w:t xml:space="preserve"> 52 U.S.C. §§ 30106, 30106(b</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1).</w:t>
      </w:r>
    </w:p>
    <w:p w14:paraId="7C4D582F" w14:textId="77777777" w:rsidR="00385EC6" w:rsidRPr="00493F9C" w:rsidRDefault="00C15B27" w:rsidP="00F20C94">
      <w:pPr>
        <w:pStyle w:val="NoSpacing"/>
        <w:keepNext/>
        <w:spacing w:line="480" w:lineRule="auto"/>
        <w:jc w:val="center"/>
        <w:rPr>
          <w:rFonts w:ascii="Times New Roman" w:eastAsia="Times New Roman" w:hAnsi="Times New Roman" w:cs="Times New Roman"/>
          <w:b/>
          <w:bCs/>
          <w:sz w:val="24"/>
          <w:szCs w:val="24"/>
          <w:u w:val="single"/>
        </w:rPr>
      </w:pPr>
      <w:r w:rsidRPr="00493F9C">
        <w:rPr>
          <w:rFonts w:ascii="Times New Roman" w:hAnsi="Times New Roman" w:cs="Times New Roman"/>
          <w:b/>
          <w:bCs/>
          <w:sz w:val="24"/>
          <w:szCs w:val="24"/>
          <w:u w:val="single"/>
        </w:rPr>
        <w:lastRenderedPageBreak/>
        <w:t>STATUTORY AND REGULATORY FRAMEWORK</w:t>
      </w:r>
    </w:p>
    <w:p w14:paraId="0D0FFD41" w14:textId="3973609C" w:rsidR="002C29CB" w:rsidRPr="002C29CB" w:rsidRDefault="002C29CB" w:rsidP="00F20C94">
      <w:pPr>
        <w:pStyle w:val="NoSpacing"/>
        <w:keepNext/>
        <w:spacing w:line="480" w:lineRule="auto"/>
        <w:jc w:val="center"/>
        <w:rPr>
          <w:rFonts w:ascii="Times New Roman" w:eastAsia="Times New Roman" w:hAnsi="Times New Roman" w:cs="Times New Roman"/>
          <w:b/>
          <w:bCs/>
          <w:i/>
          <w:sz w:val="24"/>
          <w:szCs w:val="24"/>
        </w:rPr>
      </w:pPr>
      <w:r w:rsidRPr="002C29CB">
        <w:rPr>
          <w:rFonts w:ascii="Times New Roman" w:eastAsia="Times New Roman" w:hAnsi="Times New Roman" w:cs="Times New Roman"/>
          <w:b/>
          <w:bCs/>
          <w:i/>
          <w:sz w:val="24"/>
          <w:szCs w:val="24"/>
        </w:rPr>
        <w:t>Political Committees</w:t>
      </w:r>
    </w:p>
    <w:p w14:paraId="3E3CF0C5" w14:textId="1ACB96AB" w:rsidR="00385EC6" w:rsidRPr="006044D2"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b/>
          <w:bCs/>
          <w:sz w:val="24"/>
          <w:szCs w:val="24"/>
          <w:u w:val="single"/>
        </w:rPr>
      </w:pPr>
      <w:r w:rsidRPr="00493F9C">
        <w:rPr>
          <w:rFonts w:ascii="Times New Roman" w:hAnsi="Times New Roman" w:cs="Times New Roman"/>
          <w:sz w:val="24"/>
          <w:szCs w:val="24"/>
        </w:rPr>
        <w:t xml:space="preserve">The FECA and the implementing FEC </w:t>
      </w:r>
      <w:r w:rsidR="00D178B2">
        <w:rPr>
          <w:rFonts w:ascii="Times New Roman" w:hAnsi="Times New Roman" w:cs="Times New Roman"/>
          <w:sz w:val="24"/>
          <w:szCs w:val="24"/>
        </w:rPr>
        <w:t xml:space="preserve">regulations </w:t>
      </w:r>
      <w:r w:rsidR="006044D2">
        <w:rPr>
          <w:rFonts w:ascii="Times New Roman" w:hAnsi="Times New Roman" w:cs="Times New Roman"/>
          <w:sz w:val="24"/>
          <w:szCs w:val="24"/>
        </w:rPr>
        <w:t xml:space="preserve">impose on “political committees” registration, organization, and disclosure requirements. </w:t>
      </w:r>
      <w:r w:rsidRPr="00493F9C">
        <w:rPr>
          <w:rFonts w:ascii="Times New Roman" w:hAnsi="Times New Roman" w:cs="Times New Roman"/>
          <w:sz w:val="24"/>
          <w:szCs w:val="24"/>
        </w:rPr>
        <w:t xml:space="preserve">  </w:t>
      </w:r>
    </w:p>
    <w:p w14:paraId="4FEBFF51" w14:textId="77777777" w:rsidR="006044D2" w:rsidRPr="00493F9C" w:rsidRDefault="006044D2" w:rsidP="006044D2">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The FECA and implementing FEC regulations define a “political committee” as “any committee, club, association, or other group of persons which receives contributions aggregating in excess of $1,000 during a calendar year or which makes expenditures aggregating in excess of $1,000 during a calendar year.”  52 U.S.C. § 30101(4</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A); 11 C.F.R. § 100.5(a).</w:t>
      </w:r>
    </w:p>
    <w:p w14:paraId="2BAE95DA" w14:textId="77777777" w:rsidR="006044D2" w:rsidRPr="00493F9C" w:rsidRDefault="006044D2" w:rsidP="006044D2">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The FECA defines an “expenditure” as “any purchase, payment, distribution, loan, advance, deposit, or gift of money or anything of value, made by any person for the purpose of influencing any election for Federal office.”  52 U.S.C. § 30101(9</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 xml:space="preserve">A).  The Supreme Court has clarified that an “expenditure” for the purpose of this definition includes only “funds used for communications that expressly advocate the election or defeat of a clearly identified candidate.”  </w:t>
      </w:r>
      <w:r w:rsidRPr="00493F9C">
        <w:rPr>
          <w:rFonts w:ascii="Times New Roman" w:hAnsi="Times New Roman" w:cs="Times New Roman"/>
          <w:i/>
          <w:sz w:val="24"/>
          <w:szCs w:val="24"/>
        </w:rPr>
        <w:t>See</w:t>
      </w:r>
      <w:r w:rsidRPr="00493F9C">
        <w:rPr>
          <w:rFonts w:ascii="Times New Roman" w:hAnsi="Times New Roman" w:cs="Times New Roman"/>
          <w:sz w:val="24"/>
          <w:szCs w:val="24"/>
        </w:rPr>
        <w:t xml:space="preserve"> </w:t>
      </w:r>
      <w:r w:rsidRPr="00493F9C">
        <w:rPr>
          <w:rFonts w:ascii="Times New Roman" w:hAnsi="Times New Roman" w:cs="Times New Roman"/>
          <w:i/>
          <w:iCs/>
          <w:sz w:val="24"/>
          <w:szCs w:val="24"/>
        </w:rPr>
        <w:t xml:space="preserve">Buckley v. </w:t>
      </w:r>
      <w:proofErr w:type="spellStart"/>
      <w:r w:rsidRPr="00493F9C">
        <w:rPr>
          <w:rFonts w:ascii="Times New Roman" w:hAnsi="Times New Roman" w:cs="Times New Roman"/>
          <w:i/>
          <w:iCs/>
          <w:sz w:val="24"/>
          <w:szCs w:val="24"/>
        </w:rPr>
        <w:t>Valeo</w:t>
      </w:r>
      <w:proofErr w:type="spellEnd"/>
      <w:r w:rsidRPr="00493F9C">
        <w:rPr>
          <w:rFonts w:ascii="Times New Roman" w:hAnsi="Times New Roman" w:cs="Times New Roman"/>
          <w:sz w:val="24"/>
          <w:szCs w:val="24"/>
        </w:rPr>
        <w:t>, 424 U.S. 1, 80 (1976).</w:t>
      </w:r>
    </w:p>
    <w:p w14:paraId="63B79459" w14:textId="14D362E8" w:rsidR="006044D2" w:rsidRPr="00493F9C" w:rsidRDefault="006044D2" w:rsidP="006044D2">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In </w:t>
      </w:r>
      <w:r w:rsidRPr="00493F9C">
        <w:rPr>
          <w:rFonts w:ascii="Times New Roman" w:hAnsi="Times New Roman" w:cs="Times New Roman"/>
          <w:i/>
          <w:iCs/>
          <w:sz w:val="24"/>
          <w:szCs w:val="24"/>
        </w:rPr>
        <w:t>Buckley</w:t>
      </w:r>
      <w:r w:rsidRPr="00493F9C">
        <w:rPr>
          <w:rFonts w:ascii="Times New Roman" w:hAnsi="Times New Roman" w:cs="Times New Roman"/>
          <w:sz w:val="24"/>
          <w:szCs w:val="24"/>
        </w:rPr>
        <w:t xml:space="preserve">, the Court </w:t>
      </w:r>
      <w:r>
        <w:rPr>
          <w:rFonts w:ascii="Times New Roman" w:hAnsi="Times New Roman" w:cs="Times New Roman"/>
          <w:sz w:val="24"/>
          <w:szCs w:val="24"/>
        </w:rPr>
        <w:t>carved out from the reach of the FECA’s political committee provisions groups that</w:t>
      </w:r>
      <w:r w:rsidR="002C29CB">
        <w:rPr>
          <w:rFonts w:ascii="Times New Roman" w:hAnsi="Times New Roman" w:cs="Times New Roman"/>
          <w:sz w:val="24"/>
          <w:szCs w:val="24"/>
        </w:rPr>
        <w:t>, while they met the statutory definition,</w:t>
      </w:r>
      <w:r>
        <w:rPr>
          <w:rFonts w:ascii="Times New Roman" w:hAnsi="Times New Roman" w:cs="Times New Roman"/>
          <w:sz w:val="24"/>
          <w:szCs w:val="24"/>
        </w:rPr>
        <w:t xml:space="preserve"> were neither under the control of a candidate nor had the requisite</w:t>
      </w:r>
      <w:r w:rsidRPr="00493F9C">
        <w:rPr>
          <w:rFonts w:ascii="Times New Roman" w:hAnsi="Times New Roman" w:cs="Times New Roman"/>
          <w:sz w:val="24"/>
          <w:szCs w:val="24"/>
        </w:rPr>
        <w:t xml:space="preserve"> “major purpose” </w:t>
      </w:r>
      <w:r>
        <w:rPr>
          <w:rFonts w:ascii="Times New Roman" w:hAnsi="Times New Roman" w:cs="Times New Roman"/>
          <w:sz w:val="24"/>
          <w:szCs w:val="24"/>
        </w:rPr>
        <w:t>to nominate or elect</w:t>
      </w:r>
      <w:r w:rsidRPr="00493F9C">
        <w:rPr>
          <w:rFonts w:ascii="Times New Roman" w:hAnsi="Times New Roman" w:cs="Times New Roman"/>
          <w:sz w:val="24"/>
          <w:szCs w:val="24"/>
        </w:rPr>
        <w:t xml:space="preserve"> of federal candidates.  </w:t>
      </w:r>
      <w:r w:rsidRPr="00493F9C">
        <w:rPr>
          <w:rFonts w:ascii="Times New Roman" w:hAnsi="Times New Roman" w:cs="Times New Roman"/>
          <w:i/>
          <w:sz w:val="24"/>
          <w:szCs w:val="24"/>
        </w:rPr>
        <w:t xml:space="preserve">See </w:t>
      </w:r>
      <w:r w:rsidRPr="00493F9C">
        <w:rPr>
          <w:rFonts w:ascii="Times New Roman" w:hAnsi="Times New Roman" w:cs="Times New Roman"/>
          <w:sz w:val="24"/>
          <w:szCs w:val="24"/>
        </w:rPr>
        <w:t xml:space="preserve">424 U.S. at 79. </w:t>
      </w:r>
    </w:p>
    <w:p w14:paraId="30104045" w14:textId="2D353153" w:rsidR="00932F9C" w:rsidRDefault="006044D2" w:rsidP="00932F9C">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An organization</w:t>
      </w:r>
      <w:r w:rsidR="00C43D6D">
        <w:rPr>
          <w:rFonts w:ascii="Times New Roman" w:hAnsi="Times New Roman" w:cs="Times New Roman"/>
          <w:sz w:val="24"/>
          <w:szCs w:val="24"/>
        </w:rPr>
        <w:t xml:space="preserve">’s major purpose may be </w:t>
      </w:r>
      <w:r w:rsidR="00D178B2">
        <w:rPr>
          <w:rFonts w:ascii="Times New Roman" w:hAnsi="Times New Roman" w:cs="Times New Roman"/>
          <w:sz w:val="24"/>
          <w:szCs w:val="24"/>
        </w:rPr>
        <w:t xml:space="preserve">demonstrated </w:t>
      </w:r>
      <w:r w:rsidR="00C43D6D">
        <w:rPr>
          <w:rFonts w:ascii="Times New Roman" w:hAnsi="Times New Roman" w:cs="Times New Roman"/>
          <w:sz w:val="24"/>
          <w:szCs w:val="24"/>
        </w:rPr>
        <w:t xml:space="preserve">by its activities, and a group that devotes a sufficiently extensive amount of its spending to campaign activity </w:t>
      </w:r>
      <w:r w:rsidR="008F2A12">
        <w:rPr>
          <w:rFonts w:ascii="Times New Roman" w:hAnsi="Times New Roman" w:cs="Times New Roman"/>
          <w:sz w:val="24"/>
          <w:szCs w:val="24"/>
        </w:rPr>
        <w:t>may be subjected to the FECA’s political committee provisions</w:t>
      </w:r>
      <w:r w:rsidR="00C43D6D">
        <w:rPr>
          <w:rFonts w:ascii="Times New Roman" w:hAnsi="Times New Roman" w:cs="Times New Roman"/>
          <w:sz w:val="24"/>
          <w:szCs w:val="24"/>
        </w:rPr>
        <w:t xml:space="preserve">.  </w:t>
      </w:r>
      <w:r w:rsidRPr="00493F9C">
        <w:rPr>
          <w:rFonts w:ascii="Times New Roman" w:hAnsi="Times New Roman" w:cs="Times New Roman"/>
          <w:i/>
          <w:sz w:val="24"/>
          <w:szCs w:val="24"/>
        </w:rPr>
        <w:t>See</w:t>
      </w:r>
      <w:r w:rsidRPr="00493F9C">
        <w:rPr>
          <w:rFonts w:ascii="Times New Roman" w:hAnsi="Times New Roman" w:cs="Times New Roman"/>
          <w:sz w:val="24"/>
          <w:szCs w:val="24"/>
        </w:rPr>
        <w:t xml:space="preserve"> </w:t>
      </w:r>
      <w:r w:rsidRPr="00493F9C">
        <w:rPr>
          <w:rFonts w:ascii="Times New Roman" w:hAnsi="Times New Roman" w:cs="Times New Roman"/>
          <w:i/>
          <w:iCs/>
          <w:sz w:val="24"/>
          <w:szCs w:val="24"/>
        </w:rPr>
        <w:t>FEC v. Mass</w:t>
      </w:r>
      <w:r w:rsidR="00F20BBC">
        <w:rPr>
          <w:rFonts w:ascii="Times New Roman" w:hAnsi="Times New Roman" w:cs="Times New Roman"/>
          <w:i/>
          <w:iCs/>
          <w:sz w:val="24"/>
          <w:szCs w:val="24"/>
        </w:rPr>
        <w:t>.</w:t>
      </w:r>
      <w:r w:rsidRPr="00493F9C">
        <w:rPr>
          <w:rFonts w:ascii="Times New Roman" w:hAnsi="Times New Roman" w:cs="Times New Roman"/>
          <w:i/>
          <w:iCs/>
          <w:sz w:val="24"/>
          <w:szCs w:val="24"/>
        </w:rPr>
        <w:t xml:space="preserve"> Citizens for Life, Inc.</w:t>
      </w:r>
      <w:r w:rsidRPr="00493F9C">
        <w:rPr>
          <w:rFonts w:ascii="Times New Roman" w:hAnsi="Times New Roman" w:cs="Times New Roman"/>
          <w:sz w:val="24"/>
          <w:szCs w:val="24"/>
        </w:rPr>
        <w:t>, 479 U.S. 238, 26</w:t>
      </w:r>
      <w:r w:rsidR="008F2A12">
        <w:rPr>
          <w:rFonts w:ascii="Times New Roman" w:hAnsi="Times New Roman" w:cs="Times New Roman"/>
          <w:sz w:val="24"/>
          <w:szCs w:val="24"/>
        </w:rPr>
        <w:t>2 (1986).</w:t>
      </w:r>
    </w:p>
    <w:p w14:paraId="6E197095" w14:textId="0FE08880" w:rsidR="00932F9C" w:rsidRPr="00FD17CB" w:rsidRDefault="00932F9C" w:rsidP="00FD17CB">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Neither </w:t>
      </w:r>
      <w:r w:rsidR="00576FE4">
        <w:rPr>
          <w:rFonts w:ascii="Times New Roman" w:eastAsia="Times New Roman" w:hAnsi="Times New Roman" w:cs="Times New Roman"/>
          <w:sz w:val="24"/>
          <w:szCs w:val="24"/>
        </w:rPr>
        <w:t xml:space="preserve">the </w:t>
      </w:r>
      <w:r w:rsidR="002C29CB">
        <w:rPr>
          <w:rFonts w:ascii="Times New Roman" w:eastAsia="Times New Roman" w:hAnsi="Times New Roman" w:cs="Times New Roman"/>
          <w:sz w:val="24"/>
          <w:szCs w:val="24"/>
        </w:rPr>
        <w:t xml:space="preserve">Court, nor </w:t>
      </w:r>
      <w:r>
        <w:rPr>
          <w:rFonts w:ascii="Times New Roman" w:eastAsia="Times New Roman" w:hAnsi="Times New Roman" w:cs="Times New Roman"/>
          <w:sz w:val="24"/>
          <w:szCs w:val="24"/>
        </w:rPr>
        <w:t xml:space="preserve">the FECA </w:t>
      </w:r>
      <w:r w:rsidR="002C29CB">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FEC regulations define the scope of qualifying campaign activity.  The FECA and FEC regulations nonetheless regulat</w:t>
      </w:r>
      <w:r w:rsidR="002C29C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two forms of communications as election-related:  express advocacy </w:t>
      </w:r>
      <w:r w:rsidR="002C29CB">
        <w:rPr>
          <w:rFonts w:ascii="Times New Roman" w:eastAsia="Times New Roman" w:hAnsi="Times New Roman" w:cs="Times New Roman"/>
          <w:sz w:val="24"/>
          <w:szCs w:val="24"/>
        </w:rPr>
        <w:t>communications</w:t>
      </w:r>
      <w:r>
        <w:rPr>
          <w:rFonts w:ascii="Times New Roman" w:eastAsia="Times New Roman" w:hAnsi="Times New Roman" w:cs="Times New Roman"/>
          <w:sz w:val="24"/>
          <w:szCs w:val="24"/>
        </w:rPr>
        <w:t xml:space="preserve"> and electioneering communications. </w:t>
      </w:r>
      <w:r w:rsidR="00D178B2">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52 U.S.C. §§ 30101(17), 30104(f); </w:t>
      </w:r>
      <w:r w:rsidRPr="00493F9C">
        <w:rPr>
          <w:rFonts w:ascii="Times New Roman" w:hAnsi="Times New Roman" w:cs="Times New Roman"/>
          <w:sz w:val="24"/>
          <w:szCs w:val="24"/>
        </w:rPr>
        <w:t>11 C.F.R §</w:t>
      </w:r>
      <w:r>
        <w:rPr>
          <w:rFonts w:ascii="Times New Roman" w:hAnsi="Times New Roman" w:cs="Times New Roman"/>
          <w:sz w:val="24"/>
          <w:szCs w:val="24"/>
        </w:rPr>
        <w:t>§</w:t>
      </w:r>
      <w:r w:rsidRPr="00493F9C">
        <w:rPr>
          <w:rFonts w:ascii="Times New Roman" w:hAnsi="Times New Roman" w:cs="Times New Roman"/>
          <w:sz w:val="24"/>
          <w:szCs w:val="24"/>
        </w:rPr>
        <w:t> 100.16</w:t>
      </w:r>
      <w:r>
        <w:rPr>
          <w:rFonts w:ascii="Times New Roman" w:hAnsi="Times New Roman" w:cs="Times New Roman"/>
          <w:sz w:val="24"/>
          <w:szCs w:val="24"/>
        </w:rPr>
        <w:t xml:space="preserve">, </w:t>
      </w:r>
      <w:r w:rsidRPr="00493F9C">
        <w:rPr>
          <w:rFonts w:ascii="Times New Roman" w:hAnsi="Times New Roman" w:cs="Times New Roman"/>
          <w:sz w:val="24"/>
          <w:szCs w:val="24"/>
        </w:rPr>
        <w:t>100.29(a</w:t>
      </w:r>
      <w:r>
        <w:rPr>
          <w:rFonts w:ascii="Times New Roman" w:hAnsi="Times New Roman" w:cs="Times New Roman"/>
          <w:sz w:val="24"/>
          <w:szCs w:val="24"/>
        </w:rPr>
        <w:t>)</w:t>
      </w:r>
      <w:r w:rsidRPr="00493F9C">
        <w:rPr>
          <w:rFonts w:ascii="Times New Roman" w:hAnsi="Times New Roman" w:cs="Times New Roman"/>
          <w:sz w:val="24"/>
          <w:szCs w:val="24"/>
        </w:rPr>
        <w:t>.</w:t>
      </w:r>
      <w:r>
        <w:rPr>
          <w:rFonts w:ascii="Times New Roman" w:hAnsi="Times New Roman" w:cs="Times New Roman"/>
          <w:sz w:val="24"/>
          <w:szCs w:val="24"/>
        </w:rPr>
        <w:t xml:space="preserve">  An express advocacy communication is any communication </w:t>
      </w:r>
      <w:r>
        <w:rPr>
          <w:rFonts w:ascii="Times New Roman" w:eastAsia="Times New Roman" w:hAnsi="Times New Roman" w:cs="Times New Roman"/>
          <w:sz w:val="24"/>
          <w:szCs w:val="24"/>
        </w:rPr>
        <w:t>that expressly asks the audience to “vote for” or “vote against” a candidate, or uses similar terms such that “[r]</w:t>
      </w:r>
      <w:proofErr w:type="spellStart"/>
      <w:r>
        <w:rPr>
          <w:rFonts w:ascii="Times New Roman" w:eastAsia="Times New Roman" w:hAnsi="Times New Roman" w:cs="Times New Roman"/>
          <w:sz w:val="24"/>
          <w:szCs w:val="24"/>
        </w:rPr>
        <w:t>easonable</w:t>
      </w:r>
      <w:proofErr w:type="spellEnd"/>
      <w:r>
        <w:rPr>
          <w:rFonts w:ascii="Times New Roman" w:eastAsia="Times New Roman" w:hAnsi="Times New Roman" w:cs="Times New Roman"/>
          <w:sz w:val="24"/>
          <w:szCs w:val="24"/>
        </w:rPr>
        <w:t xml:space="preserve"> minds </w:t>
      </w:r>
      <w:r w:rsidRPr="00BC6619">
        <w:rPr>
          <w:rFonts w:ascii="Times New Roman" w:hAnsi="Times New Roman" w:cs="Times New Roman"/>
          <w:sz w:val="24"/>
          <w:szCs w:val="24"/>
        </w:rPr>
        <w:t>could not differ as to whether it encourages actions to elect or defeat one or more clearly identified candidate(s) or encourages some other kind of action.”  11 C.F.R. § 100.22.</w:t>
      </w:r>
      <w:r w:rsidRPr="00537CB6">
        <w:rPr>
          <w:rFonts w:ascii="Times New Roman" w:hAnsi="Times New Roman" w:cs="Times New Roman"/>
          <w:sz w:val="24"/>
          <w:szCs w:val="24"/>
        </w:rPr>
        <w:t xml:space="preserve">  </w:t>
      </w:r>
      <w:r>
        <w:rPr>
          <w:rFonts w:ascii="Times New Roman" w:hAnsi="Times New Roman" w:cs="Times New Roman"/>
          <w:sz w:val="24"/>
          <w:szCs w:val="24"/>
        </w:rPr>
        <w:t xml:space="preserve">An electioneering communication is any broadcast </w:t>
      </w:r>
      <w:r w:rsidR="00F20BBC">
        <w:rPr>
          <w:rFonts w:ascii="Times New Roman" w:hAnsi="Times New Roman" w:cs="Times New Roman"/>
          <w:sz w:val="24"/>
          <w:szCs w:val="24"/>
        </w:rPr>
        <w:t>communication</w:t>
      </w:r>
      <w:r>
        <w:rPr>
          <w:rFonts w:ascii="Times New Roman" w:eastAsia="Times New Roman" w:hAnsi="Times New Roman" w:cs="Times New Roman"/>
          <w:sz w:val="24"/>
          <w:szCs w:val="24"/>
        </w:rPr>
        <w:t xml:space="preserve"> that </w:t>
      </w:r>
      <w:r w:rsidRPr="00932F9C">
        <w:rPr>
          <w:rFonts w:ascii="Times New Roman" w:hAnsi="Times New Roman" w:cs="Times New Roman"/>
          <w:sz w:val="24"/>
          <w:szCs w:val="24"/>
        </w:rPr>
        <w:t>“refers to a clearly identified candidate for Federal office,” is publicly distributed within “60 days before a general, special, or runoff election for the office sought by the candidate, or . . . 30 days before a primary or preference election, or a convention or caucus of a political party that has authority to nominate a candidate, for the office sought by the candidate,</w:t>
      </w:r>
      <w:r>
        <w:rPr>
          <w:rFonts w:ascii="Times New Roman" w:hAnsi="Times New Roman" w:cs="Times New Roman"/>
          <w:sz w:val="24"/>
          <w:szCs w:val="24"/>
        </w:rPr>
        <w:t xml:space="preserve"> </w:t>
      </w:r>
      <w:r w:rsidRPr="00932F9C">
        <w:rPr>
          <w:rFonts w:ascii="Times New Roman" w:hAnsi="Times New Roman" w:cs="Times New Roman"/>
          <w:sz w:val="24"/>
          <w:szCs w:val="24"/>
        </w:rPr>
        <w:t>. . . is targeted to the relevant electorate</w:t>
      </w:r>
      <w:r>
        <w:rPr>
          <w:rFonts w:ascii="Times New Roman" w:hAnsi="Times New Roman" w:cs="Times New Roman"/>
          <w:sz w:val="24"/>
          <w:szCs w:val="24"/>
        </w:rPr>
        <w:t xml:space="preserve">,” and does not fall within one of the statutory </w:t>
      </w:r>
      <w:r w:rsidR="00D178B2">
        <w:rPr>
          <w:rFonts w:ascii="Times New Roman" w:hAnsi="Times New Roman" w:cs="Times New Roman"/>
          <w:sz w:val="24"/>
          <w:szCs w:val="24"/>
        </w:rPr>
        <w:t>exceptions</w:t>
      </w:r>
      <w:r>
        <w:rPr>
          <w:rFonts w:ascii="Times New Roman" w:hAnsi="Times New Roman" w:cs="Times New Roman"/>
          <w:sz w:val="24"/>
          <w:szCs w:val="24"/>
        </w:rPr>
        <w:t>.</w:t>
      </w:r>
      <w:r w:rsidRPr="00932F9C">
        <w:rPr>
          <w:rFonts w:ascii="Times New Roman" w:hAnsi="Times New Roman" w:cs="Times New Roman"/>
          <w:sz w:val="24"/>
          <w:szCs w:val="24"/>
        </w:rPr>
        <w:t xml:space="preserve">  52 U.S.C. § 30104(f</w:t>
      </w:r>
      <w:proofErr w:type="gramStart"/>
      <w:r w:rsidRPr="00932F9C">
        <w:rPr>
          <w:rFonts w:ascii="Times New Roman" w:hAnsi="Times New Roman" w:cs="Times New Roman"/>
          <w:sz w:val="24"/>
          <w:szCs w:val="24"/>
        </w:rPr>
        <w:t>)(</w:t>
      </w:r>
      <w:proofErr w:type="gramEnd"/>
      <w:r w:rsidRPr="00932F9C">
        <w:rPr>
          <w:rFonts w:ascii="Times New Roman" w:hAnsi="Times New Roman" w:cs="Times New Roman"/>
          <w:sz w:val="24"/>
          <w:szCs w:val="24"/>
        </w:rPr>
        <w:t>3)(A)</w:t>
      </w:r>
      <w:r>
        <w:rPr>
          <w:rFonts w:ascii="Times New Roman" w:hAnsi="Times New Roman" w:cs="Times New Roman"/>
          <w:sz w:val="24"/>
          <w:szCs w:val="24"/>
        </w:rPr>
        <w:t>, (B)</w:t>
      </w:r>
      <w:r w:rsidRPr="00932F9C">
        <w:rPr>
          <w:rFonts w:ascii="Times New Roman" w:hAnsi="Times New Roman" w:cs="Times New Roman"/>
          <w:sz w:val="24"/>
          <w:szCs w:val="24"/>
        </w:rPr>
        <w:t xml:space="preserve">; 11 C.F.R. § 100.29(a).  </w:t>
      </w:r>
      <w:r w:rsidR="00FD17CB">
        <w:rPr>
          <w:rFonts w:ascii="Times New Roman" w:hAnsi="Times New Roman" w:cs="Times New Roman"/>
          <w:sz w:val="24"/>
          <w:szCs w:val="24"/>
        </w:rPr>
        <w:t xml:space="preserve">The FECA imposes various disclosure burdens on anyone who spends a sufficient amount of money on either form of communication.  </w:t>
      </w:r>
      <w:r w:rsidR="00FD17CB" w:rsidRPr="00493F9C">
        <w:rPr>
          <w:rFonts w:ascii="Times New Roman" w:hAnsi="Times New Roman" w:cs="Times New Roman"/>
          <w:sz w:val="24"/>
          <w:szCs w:val="24"/>
        </w:rPr>
        <w:t>52 U.S.C. §</w:t>
      </w:r>
      <w:r w:rsidR="00FD17CB">
        <w:rPr>
          <w:rFonts w:ascii="Times New Roman" w:hAnsi="Times New Roman" w:cs="Times New Roman"/>
          <w:sz w:val="24"/>
          <w:szCs w:val="24"/>
        </w:rPr>
        <w:t>§</w:t>
      </w:r>
      <w:r w:rsidR="00FD17CB" w:rsidRPr="00493F9C">
        <w:rPr>
          <w:rFonts w:ascii="Times New Roman" w:hAnsi="Times New Roman" w:cs="Times New Roman"/>
          <w:sz w:val="24"/>
          <w:szCs w:val="24"/>
        </w:rPr>
        <w:t xml:space="preserve"> 30104(c</w:t>
      </w:r>
      <w:proofErr w:type="gramStart"/>
      <w:r w:rsidR="00FD17CB" w:rsidRPr="00493F9C">
        <w:rPr>
          <w:rFonts w:ascii="Times New Roman" w:hAnsi="Times New Roman" w:cs="Times New Roman"/>
          <w:sz w:val="24"/>
          <w:szCs w:val="24"/>
        </w:rPr>
        <w:t>)(</w:t>
      </w:r>
      <w:proofErr w:type="gramEnd"/>
      <w:r w:rsidR="00FD17CB" w:rsidRPr="00493F9C">
        <w:rPr>
          <w:rFonts w:ascii="Times New Roman" w:hAnsi="Times New Roman" w:cs="Times New Roman"/>
          <w:sz w:val="24"/>
          <w:szCs w:val="24"/>
        </w:rPr>
        <w:t>1)</w:t>
      </w:r>
      <w:r w:rsidR="00FD17CB">
        <w:rPr>
          <w:rFonts w:ascii="Times New Roman" w:hAnsi="Times New Roman" w:cs="Times New Roman"/>
          <w:sz w:val="24"/>
          <w:szCs w:val="24"/>
        </w:rPr>
        <w:t xml:space="preserve">, </w:t>
      </w:r>
      <w:r w:rsidR="00FD17CB" w:rsidRPr="00493F9C">
        <w:rPr>
          <w:rFonts w:ascii="Times New Roman" w:hAnsi="Times New Roman" w:cs="Times New Roman"/>
          <w:sz w:val="24"/>
          <w:szCs w:val="24"/>
        </w:rPr>
        <w:t>(f)(1); 11 C.F.R. §</w:t>
      </w:r>
      <w:r w:rsidR="00FD17CB">
        <w:rPr>
          <w:rFonts w:ascii="Times New Roman" w:hAnsi="Times New Roman" w:cs="Times New Roman"/>
          <w:sz w:val="24"/>
          <w:szCs w:val="24"/>
        </w:rPr>
        <w:t>§</w:t>
      </w:r>
      <w:r w:rsidR="00FD17CB" w:rsidRPr="00493F9C">
        <w:rPr>
          <w:rFonts w:ascii="Times New Roman" w:hAnsi="Times New Roman" w:cs="Times New Roman"/>
          <w:sz w:val="24"/>
          <w:szCs w:val="24"/>
        </w:rPr>
        <w:t xml:space="preserve"> </w:t>
      </w:r>
      <w:r w:rsidR="00FD17CB">
        <w:rPr>
          <w:rFonts w:ascii="Times New Roman" w:hAnsi="Times New Roman" w:cs="Times New Roman"/>
          <w:sz w:val="24"/>
          <w:szCs w:val="24"/>
        </w:rPr>
        <w:t xml:space="preserve">104.20(b), </w:t>
      </w:r>
      <w:r w:rsidR="00FD17CB" w:rsidRPr="00493F9C">
        <w:rPr>
          <w:rFonts w:ascii="Times New Roman" w:hAnsi="Times New Roman" w:cs="Times New Roman"/>
          <w:sz w:val="24"/>
          <w:szCs w:val="24"/>
        </w:rPr>
        <w:t>109.10.</w:t>
      </w:r>
    </w:p>
    <w:p w14:paraId="7D8B91EB" w14:textId="7CB2EAFA" w:rsidR="006044D2" w:rsidRPr="002C29CB" w:rsidRDefault="006044D2" w:rsidP="006044D2">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The FECA and FEC regulations require all political committees to register with the FEC within 10 days of becoming a political committee.  52 U.S.C. § 30103(a); 11 C.F.R. § 102</w:t>
      </w:r>
      <w:r w:rsidR="00F20BBC">
        <w:rPr>
          <w:rFonts w:ascii="Times New Roman" w:hAnsi="Times New Roman" w:cs="Times New Roman"/>
          <w:sz w:val="24"/>
          <w:szCs w:val="24"/>
        </w:rPr>
        <w:t>.1</w:t>
      </w:r>
      <w:r w:rsidRPr="002C29CB">
        <w:rPr>
          <w:rFonts w:ascii="Times New Roman" w:hAnsi="Times New Roman" w:cs="Times New Roman"/>
          <w:sz w:val="24"/>
          <w:szCs w:val="24"/>
        </w:rPr>
        <w:t>.</w:t>
      </w:r>
      <w:r w:rsidR="00932F9C" w:rsidRPr="002C29CB">
        <w:rPr>
          <w:rFonts w:ascii="Times New Roman" w:hAnsi="Times New Roman" w:cs="Times New Roman"/>
          <w:sz w:val="24"/>
          <w:szCs w:val="24"/>
        </w:rPr>
        <w:t xml:space="preserve">  </w:t>
      </w:r>
    </w:p>
    <w:p w14:paraId="6185399D" w14:textId="259D74CC" w:rsidR="00735477" w:rsidRPr="00735477" w:rsidRDefault="006044D2" w:rsidP="00735477">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b/>
          <w:bCs/>
          <w:i/>
          <w:iCs/>
          <w:sz w:val="24"/>
          <w:szCs w:val="24"/>
        </w:rPr>
      </w:pPr>
      <w:r w:rsidRPr="002C29CB">
        <w:rPr>
          <w:rFonts w:ascii="Times New Roman" w:hAnsi="Times New Roman" w:cs="Times New Roman"/>
          <w:sz w:val="24"/>
          <w:szCs w:val="24"/>
        </w:rPr>
        <w:t>Further</w:t>
      </w:r>
      <w:r w:rsidRPr="00493F9C">
        <w:rPr>
          <w:rFonts w:ascii="Times New Roman" w:hAnsi="Times New Roman" w:cs="Times New Roman"/>
          <w:sz w:val="24"/>
          <w:szCs w:val="24"/>
        </w:rPr>
        <w:t xml:space="preserve">, under the FECA and implementing FEC regulations, political committees must file periodic reports with the FEC that, among other things: (1) identify all individuals contributing an aggregate of more than $200 in a year to the organization, and the amount each individual contributed; (2) identify all political committees making a contribution to the </w:t>
      </w:r>
      <w:r w:rsidRPr="00493F9C">
        <w:rPr>
          <w:rFonts w:ascii="Times New Roman" w:hAnsi="Times New Roman" w:cs="Times New Roman"/>
          <w:sz w:val="24"/>
          <w:szCs w:val="24"/>
        </w:rPr>
        <w:lastRenderedPageBreak/>
        <w:t>organization, and the amount each committee contributed; (3) detail all of the organization’s outstanding debts and obligations; and (4) list all of the organization’s expenditures, including its independent expenditures and electioneering communications.  52 U</w:t>
      </w:r>
      <w:r w:rsidR="00E60EAD">
        <w:rPr>
          <w:rFonts w:ascii="Times New Roman" w:hAnsi="Times New Roman" w:cs="Times New Roman"/>
          <w:sz w:val="24"/>
          <w:szCs w:val="24"/>
        </w:rPr>
        <w:t>.S.C. § 30104(a</w:t>
      </w:r>
      <w:proofErr w:type="gramStart"/>
      <w:r w:rsidR="00E60EAD">
        <w:rPr>
          <w:rFonts w:ascii="Times New Roman" w:hAnsi="Times New Roman" w:cs="Times New Roman"/>
          <w:sz w:val="24"/>
          <w:szCs w:val="24"/>
        </w:rPr>
        <w:t>)(</w:t>
      </w:r>
      <w:proofErr w:type="gramEnd"/>
      <w:r w:rsidR="00E60EAD">
        <w:rPr>
          <w:rFonts w:ascii="Times New Roman" w:hAnsi="Times New Roman" w:cs="Times New Roman"/>
          <w:sz w:val="24"/>
          <w:szCs w:val="24"/>
        </w:rPr>
        <w:t>4), (b), (f)(2)</w:t>
      </w:r>
      <w:r w:rsidRPr="00493F9C">
        <w:rPr>
          <w:rFonts w:ascii="Times New Roman" w:hAnsi="Times New Roman" w:cs="Times New Roman"/>
          <w:sz w:val="24"/>
          <w:szCs w:val="24"/>
        </w:rPr>
        <w:t>; 11 C.F.R. §§ 104.3, 104.4, 104.20(b).</w:t>
      </w:r>
    </w:p>
    <w:p w14:paraId="4E18F796" w14:textId="550B793D" w:rsidR="00385EC6" w:rsidRPr="00493F9C" w:rsidRDefault="00C15B27" w:rsidP="00576FE4">
      <w:pPr>
        <w:pStyle w:val="NoSpacing"/>
        <w:keepNext/>
        <w:spacing w:line="480" w:lineRule="auto"/>
        <w:jc w:val="center"/>
        <w:rPr>
          <w:rFonts w:ascii="Times New Roman" w:eastAsia="Times New Roman" w:hAnsi="Times New Roman" w:cs="Times New Roman"/>
          <w:b/>
          <w:bCs/>
          <w:i/>
          <w:iCs/>
          <w:sz w:val="24"/>
          <w:szCs w:val="24"/>
        </w:rPr>
      </w:pPr>
      <w:r w:rsidRPr="00493F9C">
        <w:rPr>
          <w:rFonts w:ascii="Times New Roman" w:hAnsi="Times New Roman" w:cs="Times New Roman"/>
          <w:b/>
          <w:bCs/>
          <w:i/>
          <w:iCs/>
          <w:sz w:val="24"/>
          <w:szCs w:val="24"/>
        </w:rPr>
        <w:t>Enforcement</w:t>
      </w:r>
    </w:p>
    <w:p w14:paraId="2EDF1241" w14:textId="5A723D46"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Under the FECA, any person who believes there has been a violation of the FECA may file a sworn complaint with the FEC.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 xml:space="preserve">1).  Based on the complaint, the response from the person alleged to have violated the Act, and any recommendation of the </w:t>
      </w:r>
      <w:r w:rsidR="0016041C">
        <w:rPr>
          <w:rFonts w:ascii="Times New Roman" w:hAnsi="Times New Roman" w:cs="Times New Roman"/>
          <w:sz w:val="24"/>
          <w:szCs w:val="24"/>
        </w:rPr>
        <w:t>FE</w:t>
      </w:r>
      <w:r w:rsidR="00D178B2">
        <w:rPr>
          <w:rFonts w:ascii="Times New Roman" w:hAnsi="Times New Roman" w:cs="Times New Roman"/>
          <w:sz w:val="24"/>
          <w:szCs w:val="24"/>
        </w:rPr>
        <w:t>C</w:t>
      </w:r>
      <w:r w:rsidR="0016041C">
        <w:rPr>
          <w:rFonts w:ascii="Times New Roman" w:hAnsi="Times New Roman" w:cs="Times New Roman"/>
          <w:sz w:val="24"/>
          <w:szCs w:val="24"/>
        </w:rPr>
        <w:t>’s Office of General Counsel (“</w:t>
      </w:r>
      <w:r w:rsidRPr="00493F9C">
        <w:rPr>
          <w:rFonts w:ascii="Times New Roman" w:hAnsi="Times New Roman" w:cs="Times New Roman"/>
          <w:sz w:val="24"/>
          <w:szCs w:val="24"/>
        </w:rPr>
        <w:t>OGC</w:t>
      </w:r>
      <w:r w:rsidR="0016041C">
        <w:rPr>
          <w:rFonts w:ascii="Times New Roman" w:hAnsi="Times New Roman" w:cs="Times New Roman"/>
          <w:sz w:val="24"/>
          <w:szCs w:val="24"/>
        </w:rPr>
        <w:t>”)</w:t>
      </w:r>
      <w:r w:rsidRPr="00493F9C">
        <w:rPr>
          <w:rFonts w:ascii="Times New Roman" w:hAnsi="Times New Roman" w:cs="Times New Roman"/>
          <w:sz w:val="24"/>
          <w:szCs w:val="24"/>
        </w:rPr>
        <w:t>, the FEC may then vote on whether there is “reason to believe” a violation of the FECA has occurred.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 xml:space="preserve">2).  If the FEC finds there is “reason to believe” a violation of the FECA has occurred, the FEC must notify the respondents of that finding and must “make an investigation of such alleged violation.”  </w:t>
      </w:r>
      <w:r w:rsidRPr="00493F9C">
        <w:rPr>
          <w:rFonts w:ascii="Times New Roman" w:hAnsi="Times New Roman" w:cs="Times New Roman"/>
          <w:i/>
          <w:iCs/>
          <w:sz w:val="24"/>
          <w:szCs w:val="24"/>
        </w:rPr>
        <w:t>Id.</w:t>
      </w:r>
    </w:p>
    <w:p w14:paraId="3ECC1C82" w14:textId="77777777"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After the investigation, the OGC may recommend the FEC vote on whether there is “probable cause” to believe the FECA has been violated.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 xml:space="preserve">3).  The OGC must notify the respondents of any such recommendation and provide them with a brief stating the position of the OGC on the legal and factual issues presented, to which the respondents may reply.  </w:t>
      </w:r>
      <w:r w:rsidRPr="00493F9C">
        <w:rPr>
          <w:rFonts w:ascii="Times New Roman" w:hAnsi="Times New Roman" w:cs="Times New Roman"/>
          <w:i/>
          <w:iCs/>
          <w:sz w:val="24"/>
          <w:szCs w:val="24"/>
        </w:rPr>
        <w:t>Id.</w:t>
      </w:r>
      <w:r w:rsidRPr="00493F9C">
        <w:rPr>
          <w:rFonts w:ascii="Times New Roman" w:hAnsi="Times New Roman" w:cs="Times New Roman"/>
          <w:sz w:val="24"/>
          <w:szCs w:val="24"/>
        </w:rPr>
        <w:t xml:space="preserve">  </w:t>
      </w:r>
    </w:p>
    <w:p w14:paraId="376E7959" w14:textId="77777777"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Upon consideration of these briefs, the FEC may then determine whether there is “probable cause” to believe a violation of the FECA has occurred.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4)(A)(</w:t>
      </w:r>
      <w:proofErr w:type="spellStart"/>
      <w:r w:rsidRPr="00493F9C">
        <w:rPr>
          <w:rFonts w:ascii="Times New Roman" w:hAnsi="Times New Roman" w:cs="Times New Roman"/>
          <w:sz w:val="24"/>
          <w:szCs w:val="24"/>
        </w:rPr>
        <w:t>i</w:t>
      </w:r>
      <w:proofErr w:type="spellEnd"/>
      <w:r w:rsidRPr="00493F9C">
        <w:rPr>
          <w:rFonts w:ascii="Times New Roman" w:hAnsi="Times New Roman" w:cs="Times New Roman"/>
          <w:sz w:val="24"/>
          <w:szCs w:val="24"/>
        </w:rPr>
        <w:t xml:space="preserve">).  If the FEC finds probable cause to believe a violation of the FECA has occurred, the FEC must attempt for at least 30 days, but not more than 90 days, to resolve the matter “by informal methods of conference, conciliation and persuasion,” </w:t>
      </w:r>
      <w:r w:rsidRPr="00493F9C">
        <w:rPr>
          <w:rFonts w:ascii="Times New Roman" w:hAnsi="Times New Roman" w:cs="Times New Roman"/>
          <w:i/>
          <w:iCs/>
          <w:sz w:val="24"/>
          <w:szCs w:val="24"/>
        </w:rPr>
        <w:t>id.</w:t>
      </w:r>
      <w:r w:rsidRPr="00493F9C">
        <w:rPr>
          <w:rFonts w:ascii="Times New Roman" w:hAnsi="Times New Roman" w:cs="Times New Roman"/>
          <w:sz w:val="24"/>
          <w:szCs w:val="24"/>
        </w:rPr>
        <w:t>, a process that does not involve the complainant.</w:t>
      </w:r>
    </w:p>
    <w:p w14:paraId="2432282C" w14:textId="77777777"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lastRenderedPageBreak/>
        <w:t>If the FEC is unable to settle the matter through informal methods, it may institute a civil action for legal and equitable relief in the appropriate United States district court.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6)(A).  In any action instituted by the FEC, a district court may grant injunctive relief as well as impose monetary penalties.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6)(B)–(C).</w:t>
      </w:r>
    </w:p>
    <w:p w14:paraId="333BD57C" w14:textId="77777777" w:rsidR="00385EC6" w:rsidRPr="00493F9C"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If at any stage of the proceedings the FEC dismisses a complaint, any “party aggrieved” may seek judicial review of that dismissal in the United States District Court for the District of Columbia.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8)(A).  All petitions from the dismissal of a complaint by the FEC must be filed “within 60 days after the date of the dismissal.”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8)(B).</w:t>
      </w:r>
    </w:p>
    <w:p w14:paraId="1979C40D" w14:textId="006693EA" w:rsidR="00385EC6" w:rsidRPr="00AC059B" w:rsidRDefault="00C15B2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The district court reviewing the FEC’s dismissal of a complaint may declare the FEC’s actions “contrary to law.”  52 U.S.C. § 30109(a</w:t>
      </w:r>
      <w:proofErr w:type="gramStart"/>
      <w:r w:rsidRPr="00493F9C">
        <w:rPr>
          <w:rFonts w:ascii="Times New Roman" w:hAnsi="Times New Roman" w:cs="Times New Roman"/>
          <w:sz w:val="24"/>
          <w:szCs w:val="24"/>
        </w:rPr>
        <w:t>)(</w:t>
      </w:r>
      <w:proofErr w:type="gramEnd"/>
      <w:r w:rsidRPr="00493F9C">
        <w:rPr>
          <w:rFonts w:ascii="Times New Roman" w:hAnsi="Times New Roman" w:cs="Times New Roman"/>
          <w:sz w:val="24"/>
          <w:szCs w:val="24"/>
        </w:rPr>
        <w:t xml:space="preserve">8)(C).  The court also may order the FEC “to conform </w:t>
      </w:r>
      <w:proofErr w:type="gramStart"/>
      <w:r w:rsidRPr="00493F9C">
        <w:rPr>
          <w:rFonts w:ascii="Times New Roman" w:hAnsi="Times New Roman" w:cs="Times New Roman"/>
          <w:sz w:val="24"/>
          <w:szCs w:val="24"/>
        </w:rPr>
        <w:t>with</w:t>
      </w:r>
      <w:proofErr w:type="gramEnd"/>
      <w:r w:rsidRPr="00493F9C">
        <w:rPr>
          <w:rFonts w:ascii="Times New Roman" w:hAnsi="Times New Roman" w:cs="Times New Roman"/>
          <w:sz w:val="24"/>
          <w:szCs w:val="24"/>
        </w:rPr>
        <w:t xml:space="preserve"> such declaration within 30 days.”  </w:t>
      </w:r>
      <w:r w:rsidRPr="00493F9C">
        <w:rPr>
          <w:rFonts w:ascii="Times New Roman" w:hAnsi="Times New Roman" w:cs="Times New Roman"/>
          <w:i/>
          <w:iCs/>
          <w:sz w:val="24"/>
          <w:szCs w:val="24"/>
        </w:rPr>
        <w:t>Id.</w:t>
      </w:r>
      <w:r w:rsidRPr="00493F9C">
        <w:rPr>
          <w:rFonts w:ascii="Times New Roman" w:hAnsi="Times New Roman" w:cs="Times New Roman"/>
          <w:sz w:val="24"/>
          <w:szCs w:val="24"/>
        </w:rPr>
        <w:t xml:space="preserve">  If the FEC fails to abide by the court’s order, the FECA provides the complainant with a private right of action, brought in </w:t>
      </w:r>
      <w:r w:rsidR="00B83FC5" w:rsidRPr="00493F9C">
        <w:rPr>
          <w:rFonts w:ascii="Times New Roman" w:hAnsi="Times New Roman" w:cs="Times New Roman"/>
          <w:sz w:val="24"/>
          <w:szCs w:val="24"/>
        </w:rPr>
        <w:t>the complain</w:t>
      </w:r>
      <w:r w:rsidR="00E70864" w:rsidRPr="00493F9C">
        <w:rPr>
          <w:rFonts w:ascii="Times New Roman" w:hAnsi="Times New Roman" w:cs="Times New Roman"/>
          <w:sz w:val="24"/>
          <w:szCs w:val="24"/>
        </w:rPr>
        <w:t xml:space="preserve">ants’ </w:t>
      </w:r>
      <w:r w:rsidRPr="00493F9C">
        <w:rPr>
          <w:rFonts w:ascii="Times New Roman" w:hAnsi="Times New Roman" w:cs="Times New Roman"/>
          <w:sz w:val="24"/>
          <w:szCs w:val="24"/>
        </w:rPr>
        <w:t xml:space="preserve">own name, “to remedy the violation involved in the original complaint.”  </w:t>
      </w:r>
      <w:r w:rsidRPr="00493F9C">
        <w:rPr>
          <w:rFonts w:ascii="Times New Roman" w:hAnsi="Times New Roman" w:cs="Times New Roman"/>
          <w:i/>
          <w:iCs/>
          <w:sz w:val="24"/>
          <w:szCs w:val="24"/>
        </w:rPr>
        <w:t>Id.</w:t>
      </w:r>
    </w:p>
    <w:p w14:paraId="4ED9DB8D" w14:textId="77777777" w:rsidR="00AC059B" w:rsidRDefault="00AC059B" w:rsidP="00AC059B">
      <w:pPr>
        <w:pStyle w:val="NoSpacing"/>
        <w:spacing w:line="480" w:lineRule="auto"/>
        <w:jc w:val="center"/>
        <w:rPr>
          <w:rFonts w:ascii="Times New Roman" w:hAnsi="Times New Roman" w:cs="Times New Roman"/>
          <w:b/>
          <w:bCs/>
          <w:sz w:val="24"/>
          <w:szCs w:val="24"/>
          <w:u w:val="single"/>
        </w:rPr>
      </w:pPr>
      <w:r w:rsidRPr="00493F9C">
        <w:rPr>
          <w:rFonts w:ascii="Times New Roman" w:hAnsi="Times New Roman" w:cs="Times New Roman"/>
          <w:b/>
          <w:bCs/>
          <w:sz w:val="24"/>
          <w:szCs w:val="24"/>
          <w:u w:val="single"/>
        </w:rPr>
        <w:t>FACTUAL BACKGROUND</w:t>
      </w:r>
    </w:p>
    <w:p w14:paraId="16C88F03" w14:textId="77777777" w:rsidR="00AC059B" w:rsidRPr="00AC059B" w:rsidRDefault="00AC059B" w:rsidP="00AC059B">
      <w:pPr>
        <w:pStyle w:val="NoSpacing"/>
        <w:spacing w:line="480" w:lineRule="auto"/>
        <w:jc w:val="center"/>
        <w:rPr>
          <w:rFonts w:ascii="Times New Roman" w:eastAsia="Times New Roman" w:hAnsi="Times New Roman" w:cs="Times New Roman"/>
          <w:b/>
          <w:bCs/>
          <w:i/>
          <w:sz w:val="24"/>
          <w:szCs w:val="24"/>
        </w:rPr>
      </w:pPr>
      <w:r w:rsidRPr="00AC059B">
        <w:rPr>
          <w:rFonts w:ascii="Times New Roman" w:hAnsi="Times New Roman" w:cs="Times New Roman"/>
          <w:b/>
          <w:bCs/>
          <w:i/>
          <w:sz w:val="24"/>
          <w:szCs w:val="24"/>
        </w:rPr>
        <w:t>American Action Network</w:t>
      </w:r>
    </w:p>
    <w:p w14:paraId="48CA1A78" w14:textId="1018CAE7" w:rsidR="00AC059B" w:rsidRDefault="00AC059B" w:rsidP="00AC059B">
      <w:pPr>
        <w:pStyle w:val="ListParagraph"/>
        <w:numPr>
          <w:ilvl w:val="0"/>
          <w:numId w:val="3"/>
        </w:numPr>
        <w:tabs>
          <w:tab w:val="clear" w:pos="720"/>
        </w:tabs>
        <w:spacing w:line="480" w:lineRule="auto"/>
        <w:ind w:left="0" w:firstLine="720"/>
        <w:rPr>
          <w:rFonts w:eastAsia="Times New Roman"/>
          <w:color w:val="000000"/>
          <w:u w:color="000000"/>
        </w:rPr>
      </w:pPr>
      <w:r w:rsidRPr="00AC059B">
        <w:rPr>
          <w:rFonts w:eastAsia="Times New Roman"/>
          <w:color w:val="000000"/>
          <w:u w:color="000000"/>
        </w:rPr>
        <w:t>The Washington, D.C.</w:t>
      </w:r>
      <w:r w:rsidR="00D178B2">
        <w:rPr>
          <w:rFonts w:eastAsia="Times New Roman"/>
          <w:color w:val="000000"/>
          <w:u w:color="000000"/>
        </w:rPr>
        <w:t>-</w:t>
      </w:r>
      <w:r w:rsidRPr="00AC059B">
        <w:rPr>
          <w:rFonts w:eastAsia="Times New Roman"/>
          <w:color w:val="000000"/>
          <w:u w:color="000000"/>
        </w:rPr>
        <w:t>based American Action Network</w:t>
      </w:r>
      <w:r w:rsidR="00FE6D95">
        <w:rPr>
          <w:rFonts w:eastAsia="Times New Roman"/>
          <w:color w:val="000000"/>
          <w:u w:color="000000"/>
        </w:rPr>
        <w:t xml:space="preserve"> (“AAN”)</w:t>
      </w:r>
      <w:r w:rsidRPr="00AC059B">
        <w:rPr>
          <w:rFonts w:eastAsia="Times New Roman"/>
          <w:color w:val="000000"/>
          <w:u w:color="000000"/>
        </w:rPr>
        <w:t>, formed in July 2009, is a tax-exempt organization under section 501(c</w:t>
      </w:r>
      <w:proofErr w:type="gramStart"/>
      <w:r w:rsidRPr="00AC059B">
        <w:rPr>
          <w:rFonts w:eastAsia="Times New Roman"/>
          <w:color w:val="000000"/>
          <w:u w:color="000000"/>
        </w:rPr>
        <w:t>)(</w:t>
      </w:r>
      <w:proofErr w:type="gramEnd"/>
      <w:r w:rsidRPr="00AC059B">
        <w:rPr>
          <w:rFonts w:eastAsia="Times New Roman"/>
          <w:color w:val="000000"/>
          <w:u w:color="000000"/>
        </w:rPr>
        <w:t>4</w:t>
      </w:r>
      <w:r>
        <w:rPr>
          <w:rFonts w:eastAsia="Times New Roman"/>
          <w:color w:val="000000"/>
          <w:u w:color="000000"/>
        </w:rPr>
        <w:t>) of the Internal Revenue Code.</w:t>
      </w:r>
    </w:p>
    <w:p w14:paraId="7923AC8B" w14:textId="0F1C538D" w:rsidR="00AC059B" w:rsidRPr="00AC059B" w:rsidRDefault="00AC059B" w:rsidP="00AC059B">
      <w:pPr>
        <w:pStyle w:val="ListParagraph"/>
        <w:numPr>
          <w:ilvl w:val="0"/>
          <w:numId w:val="3"/>
        </w:numPr>
        <w:tabs>
          <w:tab w:val="clear" w:pos="720"/>
        </w:tabs>
        <w:spacing w:line="480" w:lineRule="auto"/>
        <w:ind w:left="0" w:firstLine="720"/>
        <w:rPr>
          <w:rFonts w:eastAsia="Times New Roman"/>
          <w:color w:val="000000"/>
          <w:u w:color="000000"/>
        </w:rPr>
      </w:pPr>
      <w:r>
        <w:rPr>
          <w:rFonts w:eastAsia="Times New Roman"/>
          <w:color w:val="000000"/>
          <w:u w:color="000000"/>
        </w:rPr>
        <w:t>AAN describes its mission as creating, encourag</w:t>
      </w:r>
      <w:r w:rsidR="00D178B2">
        <w:rPr>
          <w:rFonts w:eastAsia="Times New Roman"/>
          <w:color w:val="000000"/>
          <w:u w:color="000000"/>
        </w:rPr>
        <w:t>ing</w:t>
      </w:r>
      <w:r>
        <w:rPr>
          <w:rFonts w:eastAsia="Times New Roman"/>
          <w:color w:val="000000"/>
          <w:u w:color="000000"/>
        </w:rPr>
        <w:t xml:space="preserve">, and promoting center-right policies based on the principles of freedom, limited government, American exceptionalism, and strong national security, and states as its “primary goal” “to put our center-right ideas into action by engaging the hearts and minds of the American people and spurring them into active participation in our democracy.”  </w:t>
      </w:r>
    </w:p>
    <w:p w14:paraId="5FCDA5E8" w14:textId="68F29270" w:rsidR="00D80320" w:rsidRPr="00E8101E" w:rsidRDefault="00AC059B" w:rsidP="00D80320">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Between July 23, 2009, and June 30, 2011, according to reports AAN filed with the FEC, AAN </w:t>
      </w:r>
      <w:r w:rsidR="00E8101E">
        <w:rPr>
          <w:rFonts w:ascii="Times New Roman" w:eastAsia="Times New Roman" w:hAnsi="Times New Roman" w:cs="Times New Roman"/>
          <w:sz w:val="24"/>
          <w:szCs w:val="24"/>
        </w:rPr>
        <w:t xml:space="preserve">spent </w:t>
      </w:r>
      <w:r>
        <w:rPr>
          <w:rFonts w:ascii="Times New Roman" w:eastAsia="Times New Roman" w:hAnsi="Times New Roman" w:cs="Times New Roman"/>
          <w:sz w:val="24"/>
          <w:szCs w:val="24"/>
        </w:rPr>
        <w:t xml:space="preserve">$4,096,910 </w:t>
      </w:r>
      <w:r w:rsidR="00E8101E">
        <w:rPr>
          <w:rFonts w:ascii="Times New Roman" w:eastAsia="Times New Roman" w:hAnsi="Times New Roman" w:cs="Times New Roman"/>
          <w:sz w:val="24"/>
          <w:szCs w:val="24"/>
        </w:rPr>
        <w:t xml:space="preserve">on independent expenditures </w:t>
      </w:r>
      <w:r>
        <w:rPr>
          <w:rFonts w:ascii="Times New Roman" w:eastAsia="Times New Roman" w:hAnsi="Times New Roman" w:cs="Times New Roman"/>
          <w:sz w:val="24"/>
          <w:szCs w:val="24"/>
        </w:rPr>
        <w:t xml:space="preserve">and </w:t>
      </w:r>
      <w:r w:rsidR="00E8101E">
        <w:rPr>
          <w:rFonts w:ascii="Times New Roman" w:eastAsia="Times New Roman" w:hAnsi="Times New Roman" w:cs="Times New Roman"/>
          <w:sz w:val="24"/>
          <w:szCs w:val="24"/>
        </w:rPr>
        <w:t xml:space="preserve">$14,038,625 on </w:t>
      </w:r>
      <w:r>
        <w:rPr>
          <w:rFonts w:ascii="Times New Roman" w:eastAsia="Times New Roman" w:hAnsi="Times New Roman" w:cs="Times New Roman"/>
          <w:sz w:val="24"/>
          <w:szCs w:val="24"/>
        </w:rPr>
        <w:t>electioneering communications</w:t>
      </w:r>
      <w:r w:rsidR="00E8101E">
        <w:rPr>
          <w:rFonts w:ascii="Times New Roman" w:eastAsia="Times New Roman" w:hAnsi="Times New Roman" w:cs="Times New Roman"/>
          <w:sz w:val="24"/>
          <w:szCs w:val="24"/>
        </w:rPr>
        <w:t>, a total of $18,135,535</w:t>
      </w:r>
      <w:r>
        <w:rPr>
          <w:rFonts w:ascii="Times New Roman" w:eastAsia="Times New Roman" w:hAnsi="Times New Roman" w:cs="Times New Roman"/>
          <w:sz w:val="24"/>
          <w:szCs w:val="24"/>
        </w:rPr>
        <w:t>.</w:t>
      </w:r>
      <w:r w:rsidR="00D80320">
        <w:rPr>
          <w:rFonts w:ascii="Times New Roman" w:eastAsia="Times New Roman" w:hAnsi="Times New Roman" w:cs="Times New Roman"/>
          <w:sz w:val="24"/>
          <w:szCs w:val="24"/>
        </w:rPr>
        <w:t xml:space="preserve">  Broken down by AAN’s fiscal year</w:t>
      </w:r>
      <w:r w:rsidR="00D80320" w:rsidRPr="00E8101E">
        <w:rPr>
          <w:rFonts w:ascii="Times New Roman" w:eastAsia="Times New Roman" w:hAnsi="Times New Roman" w:cs="Times New Roman"/>
          <w:sz w:val="24"/>
          <w:szCs w:val="24"/>
        </w:rPr>
        <w:t>, AAN reported spending $4,</w:t>
      </w:r>
      <w:r w:rsidR="00D80320" w:rsidRPr="00D80320">
        <w:rPr>
          <w:rFonts w:ascii="Times New Roman" w:eastAsia="Times New Roman" w:hAnsi="Times New Roman" w:cs="Times New Roman"/>
          <w:sz w:val="24"/>
          <w:szCs w:val="24"/>
        </w:rPr>
        <w:t xml:space="preserve">036,987 on independent expenditures and $14,038,625 </w:t>
      </w:r>
      <w:r w:rsidR="00E8101E">
        <w:rPr>
          <w:rFonts w:ascii="Times New Roman" w:eastAsia="Times New Roman" w:hAnsi="Times New Roman" w:cs="Times New Roman"/>
          <w:sz w:val="24"/>
          <w:szCs w:val="24"/>
        </w:rPr>
        <w:t>o</w:t>
      </w:r>
      <w:r w:rsidR="00D80320" w:rsidRPr="00E8101E">
        <w:rPr>
          <w:rFonts w:ascii="Times New Roman" w:eastAsia="Times New Roman" w:hAnsi="Times New Roman" w:cs="Times New Roman"/>
          <w:sz w:val="24"/>
          <w:szCs w:val="24"/>
        </w:rPr>
        <w:t>n electioneering communications between July 1, 2010 and June 30, 2011</w:t>
      </w:r>
      <w:r w:rsidR="00D80320">
        <w:rPr>
          <w:rFonts w:ascii="Times New Roman" w:eastAsia="Times New Roman" w:hAnsi="Times New Roman" w:cs="Times New Roman"/>
          <w:sz w:val="24"/>
          <w:szCs w:val="24"/>
        </w:rPr>
        <w:t xml:space="preserve">, a total of $18,075,612.  AAN further </w:t>
      </w:r>
      <w:r w:rsidR="00D80320" w:rsidRPr="00E8101E">
        <w:rPr>
          <w:rFonts w:ascii="Times New Roman" w:eastAsia="Times New Roman" w:hAnsi="Times New Roman" w:cs="Times New Roman"/>
          <w:sz w:val="24"/>
          <w:szCs w:val="24"/>
        </w:rPr>
        <w:t>reported spending $59,922 on independent expenditures between July 23, 2009 and J</w:t>
      </w:r>
      <w:r w:rsidR="00D80320" w:rsidRPr="00D80320">
        <w:rPr>
          <w:rFonts w:ascii="Times New Roman" w:eastAsia="Times New Roman" w:hAnsi="Times New Roman" w:cs="Times New Roman"/>
          <w:sz w:val="24"/>
          <w:szCs w:val="24"/>
        </w:rPr>
        <w:t>une 30, 2010.</w:t>
      </w:r>
      <w:r w:rsidR="00D80320">
        <w:rPr>
          <w:rFonts w:ascii="Times New Roman" w:eastAsia="Times New Roman" w:hAnsi="Times New Roman" w:cs="Times New Roman"/>
          <w:sz w:val="24"/>
          <w:szCs w:val="24"/>
        </w:rPr>
        <w:t xml:space="preserve">  The money was spent largely producing and broadcasting television and Internet advertisements in 29 primary and general elections.  </w:t>
      </w:r>
    </w:p>
    <w:p w14:paraId="76BAFAFF" w14:textId="49B1990A" w:rsidR="009B7B7E" w:rsidRDefault="00AC059B" w:rsidP="00A1046C">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AAN spent significant funds on</w:t>
      </w:r>
      <w:r w:rsidR="007A5FFA">
        <w:rPr>
          <w:rFonts w:ascii="Times New Roman" w:eastAsia="Times New Roman" w:hAnsi="Times New Roman" w:cs="Times New Roman"/>
          <w:sz w:val="24"/>
          <w:szCs w:val="24"/>
        </w:rPr>
        <w:t xml:space="preserve"> twenty versions of</w:t>
      </w:r>
      <w:r>
        <w:rPr>
          <w:rFonts w:ascii="Times New Roman" w:eastAsia="Times New Roman" w:hAnsi="Times New Roman" w:cs="Times New Roman"/>
          <w:sz w:val="24"/>
          <w:szCs w:val="24"/>
        </w:rPr>
        <w:t xml:space="preserve"> electioneering communications</w:t>
      </w:r>
      <w:r w:rsidR="0015702A">
        <w:rPr>
          <w:rFonts w:ascii="Times New Roman" w:eastAsia="Times New Roman" w:hAnsi="Times New Roman" w:cs="Times New Roman"/>
          <w:sz w:val="24"/>
          <w:szCs w:val="24"/>
        </w:rPr>
        <w:t xml:space="preserve"> in twenty different federal races</w:t>
      </w:r>
      <w:r>
        <w:rPr>
          <w:rFonts w:ascii="Times New Roman" w:eastAsia="Times New Roman" w:hAnsi="Times New Roman" w:cs="Times New Roman"/>
          <w:sz w:val="24"/>
          <w:szCs w:val="24"/>
        </w:rPr>
        <w:t>.  For example, starting on October 22,</w:t>
      </w:r>
      <w:r w:rsidR="002142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2010, just weeks before the election, AAN spent $725,000 broadcasting an advertisement against Rep. Ed </w:t>
      </w:r>
      <w:proofErr w:type="spellStart"/>
      <w:r>
        <w:rPr>
          <w:rFonts w:ascii="Times New Roman" w:eastAsia="Times New Roman" w:hAnsi="Times New Roman" w:cs="Times New Roman"/>
          <w:sz w:val="24"/>
          <w:szCs w:val="24"/>
        </w:rPr>
        <w:t>Perlmutter</w:t>
      </w:r>
      <w:proofErr w:type="spellEnd"/>
      <w:r>
        <w:rPr>
          <w:rFonts w:ascii="Times New Roman" w:eastAsia="Times New Roman" w:hAnsi="Times New Roman" w:cs="Times New Roman"/>
          <w:sz w:val="24"/>
          <w:szCs w:val="24"/>
        </w:rPr>
        <w:t xml:space="preserve"> (D-CO) that expressed disbelief </w:t>
      </w:r>
      <w:r w:rsidR="00A9274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“convicted rapists can get Viagra paid for by the new health care bill.”  Noting Rep. </w:t>
      </w:r>
      <w:proofErr w:type="spellStart"/>
      <w:r>
        <w:rPr>
          <w:rFonts w:ascii="Times New Roman" w:eastAsia="Times New Roman" w:hAnsi="Times New Roman" w:cs="Times New Roman"/>
          <w:sz w:val="24"/>
          <w:szCs w:val="24"/>
        </w:rPr>
        <w:t>Perlmutter</w:t>
      </w:r>
      <w:proofErr w:type="spellEnd"/>
      <w:r>
        <w:rPr>
          <w:rFonts w:ascii="Times New Roman" w:eastAsia="Times New Roman" w:hAnsi="Times New Roman" w:cs="Times New Roman"/>
          <w:sz w:val="24"/>
          <w:szCs w:val="24"/>
        </w:rPr>
        <w:t xml:space="preserve"> had voted for the Affordable Care Act (which did not, in fact, pay for convicted rapists to obtain Viagra), the advertisement encouraged viewers to “tell Congressman </w:t>
      </w:r>
      <w:proofErr w:type="spellStart"/>
      <w:r>
        <w:rPr>
          <w:rFonts w:ascii="Times New Roman" w:eastAsia="Times New Roman" w:hAnsi="Times New Roman" w:cs="Times New Roman"/>
          <w:sz w:val="24"/>
          <w:szCs w:val="24"/>
        </w:rPr>
        <w:t>Perlmutter</w:t>
      </w:r>
      <w:proofErr w:type="spellEnd"/>
      <w:r>
        <w:rPr>
          <w:rFonts w:ascii="Times New Roman" w:eastAsia="Times New Roman" w:hAnsi="Times New Roman" w:cs="Times New Roman"/>
          <w:sz w:val="24"/>
          <w:szCs w:val="24"/>
        </w:rPr>
        <w:t xml:space="preserve"> vote for repeal in November” and to “</w:t>
      </w:r>
      <w:r w:rsidR="00971EBD">
        <w:rPr>
          <w:rFonts w:ascii="Times New Roman" w:eastAsia="Times New Roman" w:hAnsi="Times New Roman" w:cs="Times New Roman"/>
          <w:sz w:val="24"/>
          <w:szCs w:val="24"/>
        </w:rPr>
        <w:t>[</w:t>
      </w:r>
      <w:r>
        <w:rPr>
          <w:rFonts w:ascii="Times New Roman" w:eastAsia="Times New Roman" w:hAnsi="Times New Roman" w:cs="Times New Roman"/>
          <w:sz w:val="24"/>
          <w:szCs w:val="24"/>
        </w:rPr>
        <w:t>v</w:t>
      </w:r>
      <w:r w:rsidR="00971EB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ote</w:t>
      </w:r>
      <w:proofErr w:type="spellEnd"/>
      <w:r>
        <w:rPr>
          <w:rFonts w:ascii="Times New Roman" w:eastAsia="Times New Roman" w:hAnsi="Times New Roman" w:cs="Times New Roman"/>
          <w:sz w:val="24"/>
          <w:szCs w:val="24"/>
        </w:rPr>
        <w:t xml:space="preserve"> </w:t>
      </w:r>
      <w:r w:rsidR="00971EBD">
        <w:rPr>
          <w:rFonts w:ascii="Times New Roman" w:eastAsia="Times New Roman" w:hAnsi="Times New Roman" w:cs="Times New Roman"/>
          <w:sz w:val="24"/>
          <w:szCs w:val="24"/>
        </w:rPr>
        <w:t>Y</w:t>
      </w:r>
      <w:r>
        <w:rPr>
          <w:rFonts w:ascii="Times New Roman" w:eastAsia="Times New Roman" w:hAnsi="Times New Roman" w:cs="Times New Roman"/>
          <w:sz w:val="24"/>
          <w:szCs w:val="24"/>
        </w:rPr>
        <w:t>es on H.R. 4903.”  The H</w:t>
      </w:r>
      <w:r w:rsidR="002142CA">
        <w:rPr>
          <w:rFonts w:ascii="Times New Roman" w:eastAsia="Times New Roman" w:hAnsi="Times New Roman" w:cs="Times New Roman"/>
          <w:sz w:val="24"/>
          <w:szCs w:val="24"/>
        </w:rPr>
        <w:t>ouse went into recess at the en</w:t>
      </w:r>
      <w:r>
        <w:rPr>
          <w:rFonts w:ascii="Times New Roman" w:eastAsia="Times New Roman" w:hAnsi="Times New Roman" w:cs="Times New Roman"/>
          <w:sz w:val="24"/>
          <w:szCs w:val="24"/>
        </w:rPr>
        <w:t xml:space="preserve">d of September 2010, </w:t>
      </w:r>
      <w:r w:rsidR="00D178B2">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no votes scheduled on H.R. 4903 or any other bill repealing the health care </w:t>
      </w:r>
      <w:r w:rsidR="009B7B7E">
        <w:rPr>
          <w:rFonts w:ascii="Times New Roman" w:eastAsia="Times New Roman" w:hAnsi="Times New Roman" w:cs="Times New Roman"/>
          <w:sz w:val="24"/>
          <w:szCs w:val="24"/>
        </w:rPr>
        <w:t xml:space="preserve">law during November 2010 or, indeed, the remainder of the 111th Congress.  Accordingly, AAN’s reference to a vote “in November” could have referred only to the upcoming congressional election in which viewers </w:t>
      </w:r>
      <w:r w:rsidR="00D178B2">
        <w:rPr>
          <w:rFonts w:ascii="Times New Roman" w:eastAsia="Times New Roman" w:hAnsi="Times New Roman" w:cs="Times New Roman"/>
          <w:sz w:val="24"/>
          <w:szCs w:val="24"/>
        </w:rPr>
        <w:t xml:space="preserve">of the advertisement </w:t>
      </w:r>
      <w:r w:rsidR="009B7B7E">
        <w:rPr>
          <w:rFonts w:ascii="Times New Roman" w:eastAsia="Times New Roman" w:hAnsi="Times New Roman" w:cs="Times New Roman"/>
          <w:sz w:val="24"/>
          <w:szCs w:val="24"/>
        </w:rPr>
        <w:t>could vote.</w:t>
      </w:r>
    </w:p>
    <w:p w14:paraId="62369B29" w14:textId="011B093C" w:rsidR="00F70076" w:rsidRPr="00A1046C" w:rsidRDefault="00F70076" w:rsidP="00A1046C">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electioneering communications AAN broadcast in 2010 similarly were related to the election.</w:t>
      </w:r>
    </w:p>
    <w:p w14:paraId="259EE2FF" w14:textId="19CD3DAC" w:rsidR="00F70076" w:rsidRDefault="00F70076" w:rsidP="00AC059B">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5212A">
        <w:rPr>
          <w:rFonts w:ascii="Times New Roman" w:eastAsia="Times New Roman" w:hAnsi="Times New Roman" w:cs="Times New Roman"/>
          <w:sz w:val="24"/>
          <w:szCs w:val="24"/>
        </w:rPr>
        <w:t xml:space="preserve">proper </w:t>
      </w:r>
      <w:r>
        <w:rPr>
          <w:rFonts w:ascii="Times New Roman" w:eastAsia="Times New Roman" w:hAnsi="Times New Roman" w:cs="Times New Roman"/>
          <w:sz w:val="24"/>
          <w:szCs w:val="24"/>
        </w:rPr>
        <w:t xml:space="preserve">time period for comparing AAN’s political activity to its overall </w:t>
      </w:r>
      <w:r w:rsidR="0085212A">
        <w:rPr>
          <w:rFonts w:ascii="Times New Roman" w:eastAsia="Times New Roman" w:hAnsi="Times New Roman" w:cs="Times New Roman"/>
          <w:sz w:val="24"/>
          <w:szCs w:val="24"/>
        </w:rPr>
        <w:t xml:space="preserve">spending </w:t>
      </w:r>
      <w:r>
        <w:rPr>
          <w:rFonts w:ascii="Times New Roman" w:eastAsia="Times New Roman" w:hAnsi="Times New Roman" w:cs="Times New Roman"/>
          <w:sz w:val="24"/>
          <w:szCs w:val="24"/>
        </w:rPr>
        <w:t xml:space="preserve">is the 2010 calendar year.  However, </w:t>
      </w:r>
      <w:r w:rsidR="00443395">
        <w:rPr>
          <w:rFonts w:ascii="Times New Roman" w:eastAsia="Times New Roman" w:hAnsi="Times New Roman" w:cs="Times New Roman"/>
          <w:sz w:val="24"/>
          <w:szCs w:val="24"/>
        </w:rPr>
        <w:t xml:space="preserve">because AAN’s fiscal year runs from July 1 </w:t>
      </w:r>
      <w:r w:rsidR="00443395">
        <w:rPr>
          <w:rFonts w:ascii="Times New Roman" w:eastAsia="Times New Roman" w:hAnsi="Times New Roman" w:cs="Times New Roman"/>
          <w:sz w:val="24"/>
          <w:szCs w:val="24"/>
        </w:rPr>
        <w:lastRenderedPageBreak/>
        <w:t xml:space="preserve">through June 30, and it reported its overall spending to the Internal Revenue Service (“IRS”) on its tax returns using those </w:t>
      </w:r>
      <w:r w:rsidR="009D676F">
        <w:rPr>
          <w:rFonts w:ascii="Times New Roman" w:eastAsia="Times New Roman" w:hAnsi="Times New Roman" w:cs="Times New Roman"/>
          <w:sz w:val="24"/>
          <w:szCs w:val="24"/>
        </w:rPr>
        <w:t xml:space="preserve">time </w:t>
      </w:r>
      <w:r w:rsidR="00443395">
        <w:rPr>
          <w:rFonts w:ascii="Times New Roman" w:eastAsia="Times New Roman" w:hAnsi="Times New Roman" w:cs="Times New Roman"/>
          <w:sz w:val="24"/>
          <w:szCs w:val="24"/>
        </w:rPr>
        <w:t xml:space="preserve">periods, Plaintiffs do not have sufficient information to precisely determine AAN’s overall spending for 2010.  </w:t>
      </w:r>
    </w:p>
    <w:p w14:paraId="70450B46" w14:textId="70C01624" w:rsidR="00443395" w:rsidRDefault="00443395" w:rsidP="00AC059B">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closest time period for which there is reported information about AAN’s spending is its 2010 fiscal year, covering July 1, 2010 through June 30, 2011.  On its 2010 tax return, AAN reported spending a total of $25,692,334 on all activities</w:t>
      </w:r>
      <w:r w:rsidR="0085212A">
        <w:rPr>
          <w:rFonts w:ascii="Times New Roman" w:eastAsia="Times New Roman" w:hAnsi="Times New Roman" w:cs="Times New Roman"/>
          <w:sz w:val="24"/>
          <w:szCs w:val="24"/>
        </w:rPr>
        <w:t xml:space="preserve"> during that period</w:t>
      </w:r>
      <w:r>
        <w:rPr>
          <w:rFonts w:ascii="Times New Roman" w:eastAsia="Times New Roman" w:hAnsi="Times New Roman" w:cs="Times New Roman"/>
          <w:sz w:val="24"/>
          <w:szCs w:val="24"/>
        </w:rPr>
        <w:t>.</w:t>
      </w:r>
      <w:r w:rsidR="009D676F">
        <w:rPr>
          <w:rFonts w:ascii="Times New Roman" w:eastAsia="Times New Roman" w:hAnsi="Times New Roman" w:cs="Times New Roman"/>
          <w:sz w:val="24"/>
          <w:szCs w:val="24"/>
        </w:rPr>
        <w:t xml:space="preserve">  As discussed above, AAN reported to the FEC spending $18,075,612 on independent expenditures and electioneering communications during the 2010 fiscal year.  As a result, AAN’s political spending comprised approximately 70.4 percent of its total spending in that fiscal year.</w:t>
      </w:r>
    </w:p>
    <w:p w14:paraId="170E8F9C" w14:textId="46C1ADC1" w:rsidR="009D676F" w:rsidRDefault="009D676F" w:rsidP="00AC059B">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AAN may have spent even more money on politics.  On its 2010 tax return, AAN reported spending a total of $5,035,953 on political expenditures.  That is approximately $998,96</w:t>
      </w:r>
      <w:r w:rsidR="005B3F7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896219">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than the amount it reported </w:t>
      </w:r>
      <w:r w:rsidR="0085212A">
        <w:rPr>
          <w:rFonts w:ascii="Times New Roman" w:eastAsia="Times New Roman" w:hAnsi="Times New Roman" w:cs="Times New Roman"/>
          <w:sz w:val="24"/>
          <w:szCs w:val="24"/>
        </w:rPr>
        <w:t xml:space="preserve">to the FEC spending </w:t>
      </w:r>
      <w:r>
        <w:rPr>
          <w:rFonts w:ascii="Times New Roman" w:eastAsia="Times New Roman" w:hAnsi="Times New Roman" w:cs="Times New Roman"/>
          <w:sz w:val="24"/>
          <w:szCs w:val="24"/>
        </w:rPr>
        <w:t>on independent expenditures that year.  AAN maintained in previous proceeding</w:t>
      </w:r>
      <w:r w:rsidR="008962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none of the money it spent on electioneering communications qualified as political activity.  </w:t>
      </w:r>
      <w:r w:rsidR="00613D1E">
        <w:rPr>
          <w:rFonts w:ascii="Times New Roman" w:eastAsia="Times New Roman" w:hAnsi="Times New Roman" w:cs="Times New Roman"/>
          <w:sz w:val="24"/>
          <w:szCs w:val="24"/>
        </w:rPr>
        <w:t xml:space="preserve">Accordingly, </w:t>
      </w:r>
      <w:r>
        <w:rPr>
          <w:rFonts w:ascii="Times New Roman" w:eastAsia="Times New Roman" w:hAnsi="Times New Roman" w:cs="Times New Roman"/>
          <w:sz w:val="24"/>
          <w:szCs w:val="24"/>
        </w:rPr>
        <w:t xml:space="preserve">AAN </w:t>
      </w:r>
      <w:r w:rsidR="00613D1E">
        <w:rPr>
          <w:rFonts w:ascii="Times New Roman" w:eastAsia="Times New Roman" w:hAnsi="Times New Roman" w:cs="Times New Roman"/>
          <w:sz w:val="24"/>
          <w:szCs w:val="24"/>
        </w:rPr>
        <w:t xml:space="preserve">may have </w:t>
      </w:r>
      <w:r>
        <w:rPr>
          <w:rFonts w:ascii="Times New Roman" w:eastAsia="Times New Roman" w:hAnsi="Times New Roman" w:cs="Times New Roman"/>
          <w:sz w:val="24"/>
          <w:szCs w:val="24"/>
        </w:rPr>
        <w:t>spent an additional $998,96</w:t>
      </w:r>
      <w:r w:rsidR="005B3F7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on political activities</w:t>
      </w:r>
      <w:r w:rsidR="00613D1E">
        <w:rPr>
          <w:rFonts w:ascii="Times New Roman" w:eastAsia="Times New Roman" w:hAnsi="Times New Roman" w:cs="Times New Roman"/>
          <w:sz w:val="24"/>
          <w:szCs w:val="24"/>
        </w:rPr>
        <w:t xml:space="preserve"> which it has not explained</w:t>
      </w:r>
      <w:r>
        <w:rPr>
          <w:rFonts w:ascii="Times New Roman" w:eastAsia="Times New Roman" w:hAnsi="Times New Roman" w:cs="Times New Roman"/>
          <w:sz w:val="24"/>
          <w:szCs w:val="24"/>
        </w:rPr>
        <w:t xml:space="preserve">.  </w:t>
      </w:r>
      <w:r w:rsidR="00613D1E">
        <w:rPr>
          <w:rFonts w:ascii="Times New Roman" w:eastAsia="Times New Roman" w:hAnsi="Times New Roman" w:cs="Times New Roman"/>
          <w:sz w:val="24"/>
          <w:szCs w:val="24"/>
        </w:rPr>
        <w:t>If this sum is added to the $18,075,612 AAN reported spending on independent expenditures and electioneering communications, AAN’s total political spending for fiscal year 2010 would be $19,074,577, or 74.2 percent of its total spending.</w:t>
      </w:r>
    </w:p>
    <w:p w14:paraId="21C77B4B" w14:textId="77E1A23F" w:rsidR="00420B94" w:rsidRDefault="00613D1E" w:rsidP="00E8101E">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E8101E">
        <w:rPr>
          <w:rFonts w:ascii="Times New Roman" w:eastAsia="Times New Roman" w:hAnsi="Times New Roman" w:cs="Times New Roman"/>
          <w:sz w:val="24"/>
          <w:szCs w:val="24"/>
        </w:rPr>
        <w:t xml:space="preserve">Looking instead </w:t>
      </w:r>
      <w:r w:rsidR="0085212A">
        <w:rPr>
          <w:rFonts w:ascii="Times New Roman" w:eastAsia="Times New Roman" w:hAnsi="Times New Roman" w:cs="Times New Roman"/>
          <w:sz w:val="24"/>
          <w:szCs w:val="24"/>
        </w:rPr>
        <w:t>at</w:t>
      </w:r>
      <w:r w:rsidRPr="00E8101E">
        <w:rPr>
          <w:rFonts w:ascii="Times New Roman" w:eastAsia="Times New Roman" w:hAnsi="Times New Roman" w:cs="Times New Roman"/>
          <w:sz w:val="24"/>
          <w:szCs w:val="24"/>
        </w:rPr>
        <w:t xml:space="preserve"> AAN’s first two years of existence, AAN still spent most of its money on </w:t>
      </w:r>
      <w:r w:rsidRPr="00420B94">
        <w:rPr>
          <w:rFonts w:ascii="Times New Roman" w:eastAsia="Times New Roman" w:hAnsi="Times New Roman" w:cs="Times New Roman"/>
          <w:sz w:val="24"/>
          <w:szCs w:val="24"/>
        </w:rPr>
        <w:t>elect</w:t>
      </w:r>
      <w:r w:rsidR="00420B94" w:rsidRPr="00420B94">
        <w:rPr>
          <w:rFonts w:ascii="Times New Roman" w:eastAsia="Times New Roman" w:hAnsi="Times New Roman" w:cs="Times New Roman"/>
          <w:sz w:val="24"/>
          <w:szCs w:val="24"/>
        </w:rPr>
        <w:t xml:space="preserve">ion-related activities.  </w:t>
      </w:r>
      <w:r w:rsidR="009B7B7E" w:rsidRPr="00420B94">
        <w:rPr>
          <w:rFonts w:ascii="Times New Roman" w:eastAsia="Times New Roman" w:hAnsi="Times New Roman" w:cs="Times New Roman"/>
          <w:sz w:val="24"/>
          <w:szCs w:val="24"/>
        </w:rPr>
        <w:t>On its 2009 tax return, AAN reported spending a total of $1,446,675 on all activities for the period July 23, 2009 through June 30, 2010</w:t>
      </w:r>
      <w:r w:rsidR="00420B94">
        <w:rPr>
          <w:rFonts w:ascii="Times New Roman" w:eastAsia="Times New Roman" w:hAnsi="Times New Roman" w:cs="Times New Roman"/>
          <w:sz w:val="24"/>
          <w:szCs w:val="24"/>
        </w:rPr>
        <w:t>, its 2009 fiscal year</w:t>
      </w:r>
      <w:r w:rsidR="0085212A">
        <w:rPr>
          <w:rFonts w:ascii="Times New Roman" w:eastAsia="Times New Roman" w:hAnsi="Times New Roman" w:cs="Times New Roman"/>
          <w:sz w:val="24"/>
          <w:szCs w:val="24"/>
        </w:rPr>
        <w:t>, making</w:t>
      </w:r>
      <w:r w:rsidR="00420B94">
        <w:rPr>
          <w:rFonts w:ascii="Times New Roman" w:eastAsia="Times New Roman" w:hAnsi="Times New Roman" w:cs="Times New Roman"/>
          <w:sz w:val="24"/>
          <w:szCs w:val="24"/>
        </w:rPr>
        <w:t xml:space="preserve"> AAN’s total reported spending for </w:t>
      </w:r>
      <w:r w:rsidR="0085212A">
        <w:rPr>
          <w:rFonts w:ascii="Times New Roman" w:eastAsia="Times New Roman" w:hAnsi="Times New Roman" w:cs="Times New Roman"/>
          <w:sz w:val="24"/>
          <w:szCs w:val="24"/>
        </w:rPr>
        <w:t xml:space="preserve">its 2009 and 2010 fiscal years combined </w:t>
      </w:r>
      <w:r w:rsidR="00420B94">
        <w:rPr>
          <w:rFonts w:ascii="Times New Roman" w:eastAsia="Times New Roman" w:hAnsi="Times New Roman" w:cs="Times New Roman"/>
          <w:sz w:val="24"/>
          <w:szCs w:val="24"/>
        </w:rPr>
        <w:t xml:space="preserve">$27,139,009.  </w:t>
      </w:r>
      <w:r w:rsidR="0085212A">
        <w:rPr>
          <w:rFonts w:ascii="Times New Roman" w:eastAsia="Times New Roman" w:hAnsi="Times New Roman" w:cs="Times New Roman"/>
          <w:sz w:val="24"/>
          <w:szCs w:val="24"/>
        </w:rPr>
        <w:t>T</w:t>
      </w:r>
      <w:r w:rsidR="00420B94">
        <w:rPr>
          <w:rFonts w:ascii="Times New Roman" w:eastAsia="Times New Roman" w:hAnsi="Times New Roman" w:cs="Times New Roman"/>
          <w:sz w:val="24"/>
          <w:szCs w:val="24"/>
        </w:rPr>
        <w:t xml:space="preserve">he $18,135,535 in independent expenditures and electioneering communications </w:t>
      </w:r>
      <w:r w:rsidR="00420B94">
        <w:rPr>
          <w:rFonts w:ascii="Times New Roman" w:eastAsia="Times New Roman" w:hAnsi="Times New Roman" w:cs="Times New Roman"/>
          <w:sz w:val="24"/>
          <w:szCs w:val="24"/>
        </w:rPr>
        <w:lastRenderedPageBreak/>
        <w:t>AAN reported to the FEC</w:t>
      </w:r>
      <w:r w:rsidR="0085212A">
        <w:rPr>
          <w:rFonts w:ascii="Times New Roman" w:eastAsia="Times New Roman" w:hAnsi="Times New Roman" w:cs="Times New Roman"/>
          <w:sz w:val="24"/>
          <w:szCs w:val="24"/>
        </w:rPr>
        <w:t>, therefore,</w:t>
      </w:r>
      <w:r w:rsidR="00420B94">
        <w:rPr>
          <w:rFonts w:ascii="Times New Roman" w:eastAsia="Times New Roman" w:hAnsi="Times New Roman" w:cs="Times New Roman"/>
          <w:sz w:val="24"/>
          <w:szCs w:val="24"/>
        </w:rPr>
        <w:t xml:space="preserve"> comprises 66.8 percent of its total spending </w:t>
      </w:r>
      <w:r w:rsidR="0085212A">
        <w:rPr>
          <w:rFonts w:ascii="Times New Roman" w:eastAsia="Times New Roman" w:hAnsi="Times New Roman" w:cs="Times New Roman"/>
          <w:sz w:val="24"/>
          <w:szCs w:val="24"/>
        </w:rPr>
        <w:t xml:space="preserve">between July 23, 2009 </w:t>
      </w:r>
      <w:r w:rsidR="00A92746">
        <w:rPr>
          <w:rFonts w:ascii="Times New Roman" w:eastAsia="Times New Roman" w:hAnsi="Times New Roman" w:cs="Times New Roman"/>
          <w:sz w:val="24"/>
          <w:szCs w:val="24"/>
        </w:rPr>
        <w:t xml:space="preserve">and </w:t>
      </w:r>
      <w:r w:rsidR="0085212A">
        <w:rPr>
          <w:rFonts w:ascii="Times New Roman" w:eastAsia="Times New Roman" w:hAnsi="Times New Roman" w:cs="Times New Roman"/>
          <w:sz w:val="24"/>
          <w:szCs w:val="24"/>
        </w:rPr>
        <w:t>June 30, 2011</w:t>
      </w:r>
      <w:r w:rsidR="00420B94">
        <w:rPr>
          <w:rFonts w:ascii="Times New Roman" w:eastAsia="Times New Roman" w:hAnsi="Times New Roman" w:cs="Times New Roman"/>
          <w:sz w:val="24"/>
          <w:szCs w:val="24"/>
        </w:rPr>
        <w:t>.</w:t>
      </w:r>
    </w:p>
    <w:p w14:paraId="7EE6EC49" w14:textId="1049A808" w:rsidR="00AC059B" w:rsidRDefault="00420B94" w:rsidP="000F60C2">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85212A">
        <w:rPr>
          <w:rFonts w:ascii="Times New Roman" w:eastAsia="Times New Roman" w:hAnsi="Times New Roman" w:cs="Times New Roman"/>
          <w:sz w:val="24"/>
          <w:szCs w:val="24"/>
        </w:rPr>
        <w:t xml:space="preserve">with its </w:t>
      </w:r>
      <w:r>
        <w:rPr>
          <w:rFonts w:ascii="Times New Roman" w:eastAsia="Times New Roman" w:hAnsi="Times New Roman" w:cs="Times New Roman"/>
          <w:sz w:val="24"/>
          <w:szCs w:val="24"/>
        </w:rPr>
        <w:t>2010</w:t>
      </w:r>
      <w:r w:rsidR="0085212A">
        <w:rPr>
          <w:rFonts w:ascii="Times New Roman" w:eastAsia="Times New Roman" w:hAnsi="Times New Roman" w:cs="Times New Roman"/>
          <w:sz w:val="24"/>
          <w:szCs w:val="24"/>
        </w:rPr>
        <w:t xml:space="preserve"> tax return</w:t>
      </w:r>
      <w:r>
        <w:rPr>
          <w:rFonts w:ascii="Times New Roman" w:eastAsia="Times New Roman" w:hAnsi="Times New Roman" w:cs="Times New Roman"/>
          <w:sz w:val="24"/>
          <w:szCs w:val="24"/>
        </w:rPr>
        <w:t xml:space="preserve">, AAN’s 2009 tax return reported more political expenditures than AAN reported to the FEC.  AAN’s 2009 tax return </w:t>
      </w:r>
      <w:r w:rsidRPr="00683E8C">
        <w:rPr>
          <w:rFonts w:ascii="Times New Roman" w:eastAsia="Times New Roman" w:hAnsi="Times New Roman" w:cs="Times New Roman"/>
          <w:sz w:val="24"/>
          <w:szCs w:val="24"/>
        </w:rPr>
        <w:t>identified $18</w:t>
      </w:r>
      <w:r w:rsidR="005B3F7B">
        <w:rPr>
          <w:rFonts w:ascii="Times New Roman" w:eastAsia="Times New Roman" w:hAnsi="Times New Roman" w:cs="Times New Roman"/>
          <w:sz w:val="24"/>
          <w:szCs w:val="24"/>
        </w:rPr>
        <w:t>5</w:t>
      </w:r>
      <w:r w:rsidRPr="00683E8C">
        <w:rPr>
          <w:rFonts w:ascii="Times New Roman" w:eastAsia="Times New Roman" w:hAnsi="Times New Roman" w:cs="Times New Roman"/>
          <w:sz w:val="24"/>
          <w:szCs w:val="24"/>
        </w:rPr>
        <w:t>,108 i</w:t>
      </w:r>
      <w:r w:rsidR="005B3F7B">
        <w:rPr>
          <w:rFonts w:ascii="Times New Roman" w:eastAsia="Times New Roman" w:hAnsi="Times New Roman" w:cs="Times New Roman"/>
          <w:sz w:val="24"/>
          <w:szCs w:val="24"/>
        </w:rPr>
        <w:t>n political expenses, about $125,186</w:t>
      </w:r>
      <w:r w:rsidRPr="00683E8C">
        <w:rPr>
          <w:rFonts w:ascii="Times New Roman" w:eastAsia="Times New Roman" w:hAnsi="Times New Roman" w:cs="Times New Roman"/>
          <w:sz w:val="24"/>
          <w:szCs w:val="24"/>
        </w:rPr>
        <w:t xml:space="preserve"> more than AAN reported in independent expenditures </w:t>
      </w:r>
      <w:r w:rsidR="0085212A">
        <w:rPr>
          <w:rFonts w:ascii="Times New Roman" w:eastAsia="Times New Roman" w:hAnsi="Times New Roman" w:cs="Times New Roman"/>
          <w:sz w:val="24"/>
          <w:szCs w:val="24"/>
        </w:rPr>
        <w:t xml:space="preserve">during </w:t>
      </w:r>
      <w:r w:rsidRPr="00683E8C">
        <w:rPr>
          <w:rFonts w:ascii="Times New Roman" w:eastAsia="Times New Roman" w:hAnsi="Times New Roman" w:cs="Times New Roman"/>
          <w:sz w:val="24"/>
          <w:szCs w:val="24"/>
        </w:rPr>
        <w:t>the same period.</w:t>
      </w:r>
      <w:r w:rsidR="00E810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Including all of AAN’s unexplained spending for fiscal years 2009 and 2010 brings its total spending on political </w:t>
      </w:r>
      <w:r w:rsidR="00E8101E">
        <w:rPr>
          <w:rFonts w:ascii="Times New Roman" w:eastAsia="Times New Roman" w:hAnsi="Times New Roman" w:cs="Times New Roman"/>
          <w:sz w:val="24"/>
          <w:szCs w:val="24"/>
        </w:rPr>
        <w:t>activity to $19,19</w:t>
      </w:r>
      <w:r w:rsidR="005B3F7B">
        <w:rPr>
          <w:rFonts w:ascii="Times New Roman" w:eastAsia="Times New Roman" w:hAnsi="Times New Roman" w:cs="Times New Roman"/>
          <w:sz w:val="24"/>
          <w:szCs w:val="24"/>
        </w:rPr>
        <w:t>9</w:t>
      </w:r>
      <w:r w:rsidR="00E8101E">
        <w:rPr>
          <w:rFonts w:ascii="Times New Roman" w:eastAsia="Times New Roman" w:hAnsi="Times New Roman" w:cs="Times New Roman"/>
          <w:sz w:val="24"/>
          <w:szCs w:val="24"/>
        </w:rPr>
        <w:t>,76</w:t>
      </w:r>
      <w:r w:rsidR="005B3F7B">
        <w:rPr>
          <w:rFonts w:ascii="Times New Roman" w:eastAsia="Times New Roman" w:hAnsi="Times New Roman" w:cs="Times New Roman"/>
          <w:sz w:val="24"/>
          <w:szCs w:val="24"/>
        </w:rPr>
        <w:t>3</w:t>
      </w:r>
      <w:r w:rsidR="00E8101E">
        <w:rPr>
          <w:rFonts w:ascii="Times New Roman" w:eastAsia="Times New Roman" w:hAnsi="Times New Roman" w:cs="Times New Roman"/>
          <w:sz w:val="24"/>
          <w:szCs w:val="24"/>
        </w:rPr>
        <w:t>.  Based on this figure, AAN’s political spending comprised 70.7 percent of its overall spending between July 23, 2009 and June 30, 2011.</w:t>
      </w:r>
    </w:p>
    <w:p w14:paraId="38373349" w14:textId="36FB86ED" w:rsidR="00425704" w:rsidRDefault="0016041C" w:rsidP="004D19CB">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June 7, 201</w:t>
      </w:r>
      <w:r w:rsidR="0064745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plaintiffs CREW and Melanie Sloan filed a complaint with the FEC against AAN for </w:t>
      </w:r>
      <w:r w:rsidR="00425704">
        <w:rPr>
          <w:rFonts w:ascii="Times New Roman" w:eastAsia="Times New Roman" w:hAnsi="Times New Roman" w:cs="Times New Roman"/>
          <w:sz w:val="24"/>
          <w:szCs w:val="24"/>
        </w:rPr>
        <w:t xml:space="preserve">violating </w:t>
      </w:r>
      <w:r>
        <w:rPr>
          <w:rFonts w:ascii="Times New Roman" w:eastAsia="Times New Roman" w:hAnsi="Times New Roman" w:cs="Times New Roman"/>
          <w:sz w:val="24"/>
          <w:szCs w:val="24"/>
        </w:rPr>
        <w:t xml:space="preserve">the FECA (“MUR 6589”).  The complaint alleged, as demonstrated by its extensive spending on federal campaign activities, </w:t>
      </w:r>
      <w:r w:rsidR="00425704">
        <w:rPr>
          <w:rFonts w:ascii="Times New Roman" w:eastAsia="Times New Roman" w:hAnsi="Times New Roman" w:cs="Times New Roman"/>
          <w:sz w:val="24"/>
          <w:szCs w:val="24"/>
        </w:rPr>
        <w:t xml:space="preserve">AAN’s </w:t>
      </w:r>
      <w:r>
        <w:rPr>
          <w:rFonts w:ascii="Times New Roman" w:eastAsia="Times New Roman" w:hAnsi="Times New Roman" w:cs="Times New Roman"/>
          <w:sz w:val="24"/>
          <w:szCs w:val="24"/>
        </w:rPr>
        <w:t>major purpose was the nomination or election of federal candidates.</w:t>
      </w:r>
    </w:p>
    <w:p w14:paraId="535B411B" w14:textId="7028E816" w:rsidR="0016041C" w:rsidRPr="004D19CB" w:rsidRDefault="0016041C" w:rsidP="004D19CB">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January 17, 2013, the OGC issued the First General Counsel’s Report (“AAN Report”) recommending the Commission find reason to believe AAN had as its major purpose the nomination or election of federal candidates during 2010, and therefore violated 52 U.S.C. §§</w:t>
      </w:r>
      <w:r w:rsidR="00306327">
        <w:rPr>
          <w:rFonts w:ascii="Times New Roman" w:eastAsia="Times New Roman" w:hAnsi="Times New Roman" w:cs="Times New Roman"/>
          <w:sz w:val="24"/>
          <w:szCs w:val="24"/>
        </w:rPr>
        <w:t> </w:t>
      </w:r>
      <w:r>
        <w:rPr>
          <w:rFonts w:ascii="Times New Roman" w:eastAsia="Times New Roman" w:hAnsi="Times New Roman" w:cs="Times New Roman"/>
          <w:sz w:val="24"/>
          <w:szCs w:val="24"/>
        </w:rPr>
        <w:t>30102, 30103, and 30104 by failing to organize, register, and report as a political committee.</w:t>
      </w:r>
      <w:r w:rsidR="00A1046C">
        <w:rPr>
          <w:rFonts w:ascii="Times New Roman" w:eastAsia="Times New Roman" w:hAnsi="Times New Roman" w:cs="Times New Roman"/>
          <w:sz w:val="24"/>
          <w:szCs w:val="24"/>
        </w:rPr>
        <w:t xml:space="preserve">  In particular, the OGC found AAN spent at least $4,096,910 on independent expenditures between July 2009 and June 2011, of which approximately $4,044,572 was spent in 2010.  The OGC further found AAN spent at least $12,968,4</w:t>
      </w:r>
      <w:r w:rsidR="002602E1">
        <w:rPr>
          <w:rFonts w:ascii="Times New Roman" w:eastAsia="Times New Roman" w:hAnsi="Times New Roman" w:cs="Times New Roman"/>
          <w:sz w:val="24"/>
          <w:szCs w:val="24"/>
        </w:rPr>
        <w:t>4</w:t>
      </w:r>
      <w:r w:rsidR="00A1046C">
        <w:rPr>
          <w:rFonts w:ascii="Times New Roman" w:eastAsia="Times New Roman" w:hAnsi="Times New Roman" w:cs="Times New Roman"/>
          <w:sz w:val="24"/>
          <w:szCs w:val="24"/>
        </w:rPr>
        <w:t xml:space="preserve">5 on electioneering communications during 2010.  The OGC could not determine the </w:t>
      </w:r>
      <w:r w:rsidR="00843F00">
        <w:rPr>
          <w:rFonts w:ascii="Times New Roman" w:eastAsia="Times New Roman" w:hAnsi="Times New Roman" w:cs="Times New Roman"/>
          <w:sz w:val="24"/>
          <w:szCs w:val="24"/>
        </w:rPr>
        <w:t xml:space="preserve">total amount </w:t>
      </w:r>
      <w:r w:rsidR="00A1046C">
        <w:rPr>
          <w:rFonts w:ascii="Times New Roman" w:eastAsia="Times New Roman" w:hAnsi="Times New Roman" w:cs="Times New Roman"/>
          <w:sz w:val="24"/>
          <w:szCs w:val="24"/>
        </w:rPr>
        <w:t>AAN spent in 2010</w:t>
      </w:r>
      <w:r w:rsidR="00843F00">
        <w:rPr>
          <w:rFonts w:ascii="Times New Roman" w:eastAsia="Times New Roman" w:hAnsi="Times New Roman" w:cs="Times New Roman"/>
          <w:sz w:val="24"/>
          <w:szCs w:val="24"/>
        </w:rPr>
        <w:t xml:space="preserve"> alone</w:t>
      </w:r>
      <w:r w:rsidR="00A1046C">
        <w:rPr>
          <w:rFonts w:ascii="Times New Roman" w:eastAsia="Times New Roman" w:hAnsi="Times New Roman" w:cs="Times New Roman"/>
          <w:sz w:val="24"/>
          <w:szCs w:val="24"/>
        </w:rPr>
        <w:t xml:space="preserve">, so </w:t>
      </w:r>
      <w:r w:rsidR="00843F00">
        <w:rPr>
          <w:rFonts w:ascii="Times New Roman" w:eastAsia="Times New Roman" w:hAnsi="Times New Roman" w:cs="Times New Roman"/>
          <w:sz w:val="24"/>
          <w:szCs w:val="24"/>
        </w:rPr>
        <w:t xml:space="preserve">it </w:t>
      </w:r>
      <w:r w:rsidR="00A1046C">
        <w:rPr>
          <w:rFonts w:ascii="Times New Roman" w:eastAsia="Times New Roman" w:hAnsi="Times New Roman" w:cs="Times New Roman"/>
          <w:sz w:val="24"/>
          <w:szCs w:val="24"/>
        </w:rPr>
        <w:t>assumed all of AAN’s reported spending occurred in 2010</w:t>
      </w:r>
      <w:r w:rsidR="003C7A8D">
        <w:rPr>
          <w:rFonts w:ascii="Times New Roman" w:eastAsia="Times New Roman" w:hAnsi="Times New Roman" w:cs="Times New Roman"/>
          <w:sz w:val="24"/>
          <w:szCs w:val="24"/>
        </w:rPr>
        <w:t>—the assumption most beneficial to AAN</w:t>
      </w:r>
      <w:r w:rsidR="00A1046C">
        <w:rPr>
          <w:rFonts w:ascii="Times New Roman" w:eastAsia="Times New Roman" w:hAnsi="Times New Roman" w:cs="Times New Roman"/>
          <w:sz w:val="24"/>
          <w:szCs w:val="24"/>
        </w:rPr>
        <w:t xml:space="preserve">.  The OGC </w:t>
      </w:r>
      <w:r w:rsidR="003C7A8D">
        <w:rPr>
          <w:rFonts w:ascii="Times New Roman" w:eastAsia="Times New Roman" w:hAnsi="Times New Roman" w:cs="Times New Roman"/>
          <w:sz w:val="24"/>
          <w:szCs w:val="24"/>
        </w:rPr>
        <w:t xml:space="preserve">then </w:t>
      </w:r>
      <w:r w:rsidR="00A1046C">
        <w:rPr>
          <w:rFonts w:ascii="Times New Roman" w:eastAsia="Times New Roman" w:hAnsi="Times New Roman" w:cs="Times New Roman"/>
          <w:sz w:val="24"/>
          <w:szCs w:val="24"/>
        </w:rPr>
        <w:t>concluded AAN spent at least $17,013,01</w:t>
      </w:r>
      <w:r w:rsidR="0064745D">
        <w:rPr>
          <w:rFonts w:ascii="Times New Roman" w:eastAsia="Times New Roman" w:hAnsi="Times New Roman" w:cs="Times New Roman"/>
          <w:sz w:val="24"/>
          <w:szCs w:val="24"/>
        </w:rPr>
        <w:t>7</w:t>
      </w:r>
      <w:r w:rsidR="00A1046C">
        <w:rPr>
          <w:rFonts w:ascii="Times New Roman" w:eastAsia="Times New Roman" w:hAnsi="Times New Roman" w:cs="Times New Roman"/>
          <w:sz w:val="24"/>
          <w:szCs w:val="24"/>
        </w:rPr>
        <w:t xml:space="preserve"> </w:t>
      </w:r>
      <w:r w:rsidR="00425704">
        <w:rPr>
          <w:rFonts w:ascii="Times New Roman" w:eastAsia="Times New Roman" w:hAnsi="Times New Roman" w:cs="Times New Roman"/>
          <w:sz w:val="24"/>
          <w:szCs w:val="24"/>
        </w:rPr>
        <w:t xml:space="preserve">on federal campaign activity </w:t>
      </w:r>
      <w:r w:rsidR="00A1046C">
        <w:rPr>
          <w:rFonts w:ascii="Times New Roman" w:eastAsia="Times New Roman" w:hAnsi="Times New Roman" w:cs="Times New Roman"/>
          <w:sz w:val="24"/>
          <w:szCs w:val="24"/>
        </w:rPr>
        <w:t xml:space="preserve">during 2010, </w:t>
      </w:r>
      <w:r w:rsidR="00A1046C">
        <w:rPr>
          <w:rFonts w:ascii="Times New Roman" w:eastAsia="Times New Roman" w:hAnsi="Times New Roman" w:cs="Times New Roman"/>
          <w:sz w:val="24"/>
          <w:szCs w:val="24"/>
        </w:rPr>
        <w:lastRenderedPageBreak/>
        <w:t xml:space="preserve">or at least 62.6 percent of its total spending for that calendar year on federal campaign activity. </w:t>
      </w:r>
      <w:r w:rsidR="004D19CB">
        <w:rPr>
          <w:rFonts w:ascii="Times New Roman" w:eastAsia="Times New Roman" w:hAnsi="Times New Roman" w:cs="Times New Roman"/>
          <w:sz w:val="24"/>
          <w:szCs w:val="24"/>
        </w:rPr>
        <w:t xml:space="preserve"> </w:t>
      </w:r>
      <w:r w:rsidR="004D19CB" w:rsidRPr="004D19CB">
        <w:rPr>
          <w:rFonts w:ascii="Times New Roman" w:eastAsia="Times New Roman" w:hAnsi="Times New Roman" w:cs="Times New Roman"/>
          <w:sz w:val="24"/>
          <w:szCs w:val="24"/>
        </w:rPr>
        <w:t>As</w:t>
      </w:r>
      <w:r w:rsidR="004D19CB">
        <w:rPr>
          <w:rFonts w:ascii="Times New Roman" w:eastAsia="Times New Roman" w:hAnsi="Times New Roman" w:cs="Times New Roman"/>
          <w:sz w:val="24"/>
          <w:szCs w:val="24"/>
        </w:rPr>
        <w:t xml:space="preserve"> a result, the OGC concluded, A</w:t>
      </w:r>
      <w:r w:rsidR="00425704">
        <w:rPr>
          <w:rFonts w:ascii="Times New Roman" w:eastAsia="Times New Roman" w:hAnsi="Times New Roman" w:cs="Times New Roman"/>
          <w:sz w:val="24"/>
          <w:szCs w:val="24"/>
        </w:rPr>
        <w:t>A</w:t>
      </w:r>
      <w:r w:rsidR="004D19CB">
        <w:rPr>
          <w:rFonts w:ascii="Times New Roman" w:eastAsia="Times New Roman" w:hAnsi="Times New Roman" w:cs="Times New Roman"/>
          <w:sz w:val="24"/>
          <w:szCs w:val="24"/>
        </w:rPr>
        <w:t>N</w:t>
      </w:r>
      <w:r w:rsidR="004D19CB" w:rsidRPr="004D19CB">
        <w:rPr>
          <w:rFonts w:ascii="Times New Roman" w:eastAsia="Times New Roman" w:hAnsi="Times New Roman" w:cs="Times New Roman"/>
          <w:sz w:val="24"/>
          <w:szCs w:val="24"/>
        </w:rPr>
        <w:t>’s spending show</w:t>
      </w:r>
      <w:r w:rsidR="00425704">
        <w:rPr>
          <w:rFonts w:ascii="Times New Roman" w:eastAsia="Times New Roman" w:hAnsi="Times New Roman" w:cs="Times New Roman"/>
          <w:sz w:val="24"/>
          <w:szCs w:val="24"/>
        </w:rPr>
        <w:t>ed</w:t>
      </w:r>
      <w:r w:rsidR="004D19CB" w:rsidRPr="004D19CB">
        <w:rPr>
          <w:rFonts w:ascii="Times New Roman" w:eastAsia="Times New Roman" w:hAnsi="Times New Roman" w:cs="Times New Roman"/>
          <w:sz w:val="24"/>
          <w:szCs w:val="24"/>
        </w:rPr>
        <w:t xml:space="preserve"> the group’s major purpose during 2010 was federal campaign activity</w:t>
      </w:r>
      <w:r w:rsidR="004D19CB">
        <w:rPr>
          <w:rFonts w:ascii="Times New Roman" w:eastAsia="Times New Roman" w:hAnsi="Times New Roman" w:cs="Times New Roman"/>
          <w:sz w:val="24"/>
          <w:szCs w:val="24"/>
        </w:rPr>
        <w:t>.</w:t>
      </w:r>
    </w:p>
    <w:p w14:paraId="70E5A4BA" w14:textId="45C81830" w:rsidR="0016041C" w:rsidRDefault="0016041C"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detailed analysis of the AAN Report, on June 2</w:t>
      </w:r>
      <w:r w:rsidR="00FE5829">
        <w:rPr>
          <w:rFonts w:ascii="Times New Roman" w:eastAsia="Times New Roman" w:hAnsi="Times New Roman" w:cs="Times New Roman"/>
          <w:sz w:val="24"/>
          <w:szCs w:val="24"/>
        </w:rPr>
        <w:t>4</w:t>
      </w:r>
      <w:r>
        <w:rPr>
          <w:rFonts w:ascii="Times New Roman" w:eastAsia="Times New Roman" w:hAnsi="Times New Roman" w:cs="Times New Roman"/>
          <w:sz w:val="24"/>
          <w:szCs w:val="24"/>
        </w:rPr>
        <w:t>, 2014, the Commission by a vote of three to three failed to find reason to believe AAN had violated 52 U.S.C. §§ 30102, 30103, or 30104, and by a vote of six to zero clos</w:t>
      </w:r>
      <w:r w:rsidR="00C47253">
        <w:rPr>
          <w:rFonts w:ascii="Times New Roman" w:eastAsia="Times New Roman" w:hAnsi="Times New Roman" w:cs="Times New Roman"/>
          <w:sz w:val="24"/>
          <w:szCs w:val="24"/>
        </w:rPr>
        <w:t>e</w:t>
      </w:r>
      <w:r>
        <w:rPr>
          <w:rFonts w:ascii="Times New Roman" w:eastAsia="Times New Roman" w:hAnsi="Times New Roman" w:cs="Times New Roman"/>
          <w:sz w:val="24"/>
          <w:szCs w:val="24"/>
        </w:rPr>
        <w:t>d the file.</w:t>
      </w:r>
    </w:p>
    <w:p w14:paraId="64DB654E" w14:textId="23B25BED" w:rsidR="0016041C" w:rsidRDefault="0016041C"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30, 2014, the FEC released the statement of reasons of the three commissioners voting against finding “reason to believe”—then Chairman Lee E. Goodman and Commissioners Caroline C. Hunter and Matthew S. Petersen (“Goodman, Hunter, </w:t>
      </w:r>
      <w:proofErr w:type="gramStart"/>
      <w:r>
        <w:rPr>
          <w:rFonts w:ascii="Times New Roman" w:eastAsia="Times New Roman" w:hAnsi="Times New Roman" w:cs="Times New Roman"/>
          <w:sz w:val="24"/>
          <w:szCs w:val="24"/>
        </w:rPr>
        <w:t>Petersen</w:t>
      </w:r>
      <w:proofErr w:type="gramEnd"/>
      <w:r>
        <w:rPr>
          <w:rFonts w:ascii="Times New Roman" w:eastAsia="Times New Roman" w:hAnsi="Times New Roman" w:cs="Times New Roman"/>
          <w:sz w:val="24"/>
          <w:szCs w:val="24"/>
        </w:rPr>
        <w:t xml:space="preserve"> AAN </w:t>
      </w:r>
      <w:proofErr w:type="spellStart"/>
      <w:r>
        <w:rPr>
          <w:rFonts w:ascii="Times New Roman" w:eastAsia="Times New Roman" w:hAnsi="Times New Roman" w:cs="Times New Roman"/>
          <w:sz w:val="24"/>
          <w:szCs w:val="24"/>
        </w:rPr>
        <w:t>SoR</w:t>
      </w:r>
      <w:proofErr w:type="spellEnd"/>
      <w:r>
        <w:rPr>
          <w:rFonts w:ascii="Times New Roman" w:eastAsia="Times New Roman" w:hAnsi="Times New Roman" w:cs="Times New Roman"/>
          <w:sz w:val="24"/>
          <w:szCs w:val="24"/>
        </w:rPr>
        <w:t>”).  These commissioners, “[a]s the controlling decision makers,” concluded AAN’s major purpose, based on its public statements, organizational documents, and overall spending history, “has been issue advocacy and grassroots lobbying and organiz</w:t>
      </w:r>
      <w:r w:rsidR="00FE5829">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00FE5829">
        <w:rPr>
          <w:rFonts w:ascii="Times New Roman" w:eastAsia="Times New Roman" w:hAnsi="Times New Roman" w:cs="Times New Roman"/>
          <w:sz w:val="24"/>
          <w:szCs w:val="24"/>
        </w:rPr>
        <w:t>g</w:t>
      </w:r>
      <w:r>
        <w:rPr>
          <w:rFonts w:ascii="Times New Roman" w:eastAsia="Times New Roman" w:hAnsi="Times New Roman" w:cs="Times New Roman"/>
          <w:sz w:val="24"/>
          <w:szCs w:val="24"/>
        </w:rPr>
        <w:t>.”</w:t>
      </w:r>
    </w:p>
    <w:p w14:paraId="17A4338D" w14:textId="7D9A9600" w:rsidR="0016041C" w:rsidRDefault="0016041C"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reach that conclusion, the Goodman, Hunter, Petersen AAN </w:t>
      </w:r>
      <w:proofErr w:type="spellStart"/>
      <w:r>
        <w:rPr>
          <w:rFonts w:ascii="Times New Roman" w:eastAsia="Times New Roman" w:hAnsi="Times New Roman" w:cs="Times New Roman"/>
          <w:sz w:val="24"/>
          <w:szCs w:val="24"/>
        </w:rPr>
        <w:t>SoR</w:t>
      </w:r>
      <w:proofErr w:type="spellEnd"/>
      <w:r>
        <w:rPr>
          <w:rFonts w:ascii="Times New Roman" w:eastAsia="Times New Roman" w:hAnsi="Times New Roman" w:cs="Times New Roman"/>
          <w:sz w:val="24"/>
          <w:szCs w:val="24"/>
        </w:rPr>
        <w:t xml:space="preserve"> interpreted the First Amendment and judicial precedent to require the FEC to ignore AAN’s communications that did not contain express advocacy, and to treat all such non-express advocacy communications, including AAN’s electioneering communications, as not</w:t>
      </w:r>
      <w:r w:rsidR="00C472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indicative of a purpose to nominate or elect candidates.  </w:t>
      </w:r>
      <w:r w:rsidR="00896219">
        <w:rPr>
          <w:rFonts w:ascii="Times New Roman" w:eastAsia="Times New Roman" w:hAnsi="Times New Roman" w:cs="Times New Roman"/>
          <w:sz w:val="24"/>
          <w:szCs w:val="24"/>
        </w:rPr>
        <w:t xml:space="preserve"> Further, the Goodman, Hunter, Petersen ANN </w:t>
      </w:r>
      <w:proofErr w:type="spellStart"/>
      <w:r w:rsidR="00896219">
        <w:rPr>
          <w:rFonts w:ascii="Times New Roman" w:eastAsia="Times New Roman" w:hAnsi="Times New Roman" w:cs="Times New Roman"/>
          <w:sz w:val="24"/>
          <w:szCs w:val="24"/>
        </w:rPr>
        <w:t>SoR</w:t>
      </w:r>
      <w:proofErr w:type="spellEnd"/>
      <w:r w:rsidR="00896219">
        <w:rPr>
          <w:rFonts w:ascii="Times New Roman" w:eastAsia="Times New Roman" w:hAnsi="Times New Roman" w:cs="Times New Roman"/>
          <w:sz w:val="24"/>
          <w:szCs w:val="24"/>
        </w:rPr>
        <w:t xml:space="preserve"> interpreted the </w:t>
      </w:r>
      <w:r w:rsidR="00896219">
        <w:rPr>
          <w:rFonts w:ascii="Times New Roman" w:eastAsia="Times New Roman" w:hAnsi="Times New Roman" w:cs="Times New Roman"/>
          <w:i/>
          <w:sz w:val="24"/>
          <w:szCs w:val="24"/>
        </w:rPr>
        <w:t>Buckley</w:t>
      </w:r>
      <w:r w:rsidR="00896219">
        <w:rPr>
          <w:rFonts w:ascii="Times New Roman" w:eastAsia="Times New Roman" w:hAnsi="Times New Roman" w:cs="Times New Roman"/>
          <w:sz w:val="24"/>
          <w:szCs w:val="24"/>
        </w:rPr>
        <w:t xml:space="preserve">’s “major purpose” limitation as considering the group’s activities over its entire life and treating all such activity as equally important to determine whether the group’s current major purpose was to nominate or elect candidates.  </w:t>
      </w:r>
    </w:p>
    <w:p w14:paraId="5943AB52" w14:textId="1C12B07C" w:rsidR="0016041C" w:rsidRDefault="0016041C"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August 20, 2014, Plaintiffs brought suit against the FEC</w:t>
      </w:r>
      <w:r w:rsidR="007C654F">
        <w:rPr>
          <w:rFonts w:ascii="Times New Roman" w:eastAsia="Times New Roman" w:hAnsi="Times New Roman" w:cs="Times New Roman"/>
          <w:sz w:val="24"/>
          <w:szCs w:val="24"/>
        </w:rPr>
        <w:t xml:space="preserve"> challenging</w:t>
      </w:r>
      <w:r w:rsidR="007C654F">
        <w:rPr>
          <w:rFonts w:ascii="Times New Roman" w:eastAsia="Times New Roman" w:hAnsi="Times New Roman" w:cs="Times New Roman"/>
          <w:i/>
          <w:sz w:val="24"/>
          <w:szCs w:val="24"/>
        </w:rPr>
        <w:t xml:space="preserve"> </w:t>
      </w:r>
      <w:r w:rsidR="007C654F">
        <w:rPr>
          <w:rFonts w:ascii="Times New Roman" w:eastAsia="Times New Roman" w:hAnsi="Times New Roman" w:cs="Times New Roman"/>
          <w:sz w:val="24"/>
          <w:szCs w:val="24"/>
        </w:rPr>
        <w:t>the dismissal of Plaintiffs’ administrative complaint against AAN as “contrary to law” in violation of 52 U.S.C. § 30109(a</w:t>
      </w:r>
      <w:proofErr w:type="gramStart"/>
      <w:r w:rsidR="007C654F">
        <w:rPr>
          <w:rFonts w:ascii="Times New Roman" w:eastAsia="Times New Roman" w:hAnsi="Times New Roman" w:cs="Times New Roman"/>
          <w:sz w:val="24"/>
          <w:szCs w:val="24"/>
        </w:rPr>
        <w:t>)(</w:t>
      </w:r>
      <w:proofErr w:type="gramEnd"/>
      <w:r w:rsidR="007C654F">
        <w:rPr>
          <w:rFonts w:ascii="Times New Roman" w:eastAsia="Times New Roman" w:hAnsi="Times New Roman" w:cs="Times New Roman"/>
          <w:sz w:val="24"/>
          <w:szCs w:val="24"/>
        </w:rPr>
        <w:t xml:space="preserve">8).  </w:t>
      </w:r>
    </w:p>
    <w:p w14:paraId="196CB811" w14:textId="44300D15" w:rsidR="007C654F" w:rsidRPr="00E63250" w:rsidRDefault="007C654F"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September 19, 2016, Judge Christopher Cooper granted Plaintiffs</w:t>
      </w:r>
      <w:r w:rsidR="00425704">
        <w:rPr>
          <w:rFonts w:ascii="Times New Roman" w:eastAsia="Times New Roman" w:hAnsi="Times New Roman" w:cs="Times New Roman"/>
          <w:sz w:val="24"/>
          <w:szCs w:val="24"/>
        </w:rPr>
        <w:t>’ motion for</w:t>
      </w:r>
      <w:r>
        <w:rPr>
          <w:rFonts w:ascii="Times New Roman" w:eastAsia="Times New Roman" w:hAnsi="Times New Roman" w:cs="Times New Roman"/>
          <w:sz w:val="24"/>
          <w:szCs w:val="24"/>
        </w:rPr>
        <w:t xml:space="preserve"> summary judgment, finding that the FEC’s dismissal of Plaintiffs’ complaint against AAN was “contrary to law.”  </w:t>
      </w:r>
      <w:r>
        <w:rPr>
          <w:rFonts w:ascii="Times New Roman" w:eastAsia="Times New Roman" w:hAnsi="Times New Roman" w:cs="Times New Roman"/>
          <w:i/>
          <w:sz w:val="24"/>
          <w:szCs w:val="24"/>
        </w:rPr>
        <w:t>CREW</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2016 U.S. Dist. LEXIS 127308.  In relevant part, Judge Cooper ruled that the </w:t>
      </w:r>
      <w:r w:rsidR="007143FB" w:rsidRPr="007143FB">
        <w:rPr>
          <w:rFonts w:ascii="Times New Roman" w:hAnsi="Times New Roman" w:cs="Times New Roman"/>
          <w:sz w:val="24"/>
          <w:szCs w:val="24"/>
        </w:rPr>
        <w:t xml:space="preserve">Goodman, Hunter, Petersen AAN </w:t>
      </w:r>
      <w:proofErr w:type="spellStart"/>
      <w:r w:rsidR="007143FB" w:rsidRPr="007143FB">
        <w:rPr>
          <w:rFonts w:ascii="Times New Roman" w:hAnsi="Times New Roman" w:cs="Times New Roman"/>
          <w:sz w:val="24"/>
          <w:szCs w:val="24"/>
        </w:rPr>
        <w:t>SoR</w:t>
      </w:r>
      <w:proofErr w:type="spellEnd"/>
      <w:r w:rsidR="007143FB" w:rsidRPr="007143FB">
        <w:rPr>
          <w:rFonts w:ascii="Times New Roman" w:hAnsi="Times New Roman" w:cs="Times New Roman"/>
          <w:sz w:val="24"/>
          <w:szCs w:val="24"/>
        </w:rPr>
        <w:t xml:space="preserve"> </w:t>
      </w:r>
      <w:r>
        <w:rPr>
          <w:rFonts w:ascii="Times New Roman" w:hAnsi="Times New Roman" w:cs="Times New Roman"/>
          <w:sz w:val="24"/>
          <w:szCs w:val="24"/>
        </w:rPr>
        <w:t xml:space="preserve">committed legal error by concluding that the “First Amendment effectively required the agency to exclude from its consideration all non-express advocacy in the context of disclosure,” </w:t>
      </w:r>
      <w:r w:rsidR="00FE5829">
        <w:rPr>
          <w:rFonts w:ascii="Times New Roman" w:hAnsi="Times New Roman" w:cs="Times New Roman"/>
          <w:sz w:val="24"/>
          <w:szCs w:val="24"/>
        </w:rPr>
        <w:t>including</w:t>
      </w:r>
      <w:r>
        <w:rPr>
          <w:rFonts w:ascii="Times New Roman" w:hAnsi="Times New Roman" w:cs="Times New Roman"/>
          <w:sz w:val="24"/>
          <w:szCs w:val="24"/>
        </w:rPr>
        <w:t xml:space="preserve"> the FECA’s political committee provisions.  </w:t>
      </w:r>
      <w:r>
        <w:rPr>
          <w:rFonts w:ascii="Times New Roman" w:hAnsi="Times New Roman" w:cs="Times New Roman"/>
          <w:i/>
          <w:sz w:val="24"/>
          <w:szCs w:val="24"/>
        </w:rPr>
        <w:t>Id.</w:t>
      </w:r>
      <w:r w:rsidR="00FB160A">
        <w:rPr>
          <w:rFonts w:ascii="Times New Roman" w:hAnsi="Times New Roman" w:cs="Times New Roman"/>
          <w:sz w:val="24"/>
          <w:szCs w:val="24"/>
        </w:rPr>
        <w:t xml:space="preserve"> at *37–38. </w:t>
      </w:r>
      <w:r>
        <w:rPr>
          <w:rFonts w:ascii="Times New Roman" w:hAnsi="Times New Roman" w:cs="Times New Roman"/>
          <w:sz w:val="24"/>
          <w:szCs w:val="24"/>
        </w:rPr>
        <w:t xml:space="preserve"> The Court found that it “blinks reality to conclude that many of the ads considered by the Commissioners in this case were not designed to influence the election or defeat of a particular candidate in an ongoing race.”  </w:t>
      </w:r>
      <w:r>
        <w:rPr>
          <w:rFonts w:ascii="Times New Roman" w:hAnsi="Times New Roman" w:cs="Times New Roman"/>
          <w:i/>
          <w:sz w:val="24"/>
          <w:szCs w:val="24"/>
        </w:rPr>
        <w:t>Id.</w:t>
      </w:r>
      <w:r>
        <w:rPr>
          <w:rFonts w:ascii="Times New Roman" w:hAnsi="Times New Roman" w:cs="Times New Roman"/>
          <w:sz w:val="24"/>
          <w:szCs w:val="24"/>
        </w:rPr>
        <w:t xml:space="preserve"> at *37.  Rather, the Court noted that the record supported the conclusion that, at a minimum, “</w:t>
      </w:r>
      <w:r>
        <w:rPr>
          <w:rFonts w:ascii="Times New Roman" w:hAnsi="Times New Roman" w:cs="Times New Roman"/>
          <w:i/>
          <w:sz w:val="24"/>
          <w:szCs w:val="24"/>
        </w:rPr>
        <w:t>many</w:t>
      </w:r>
      <w:r>
        <w:rPr>
          <w:rFonts w:ascii="Times New Roman" w:hAnsi="Times New Roman" w:cs="Times New Roman"/>
          <w:sz w:val="24"/>
          <w:szCs w:val="24"/>
        </w:rPr>
        <w:t xml:space="preserve"> or even </w:t>
      </w:r>
      <w:r>
        <w:rPr>
          <w:rFonts w:ascii="Times New Roman" w:hAnsi="Times New Roman" w:cs="Times New Roman"/>
          <w:i/>
          <w:sz w:val="24"/>
          <w:szCs w:val="24"/>
        </w:rPr>
        <w:t>most</w:t>
      </w:r>
      <w:r>
        <w:rPr>
          <w:rFonts w:ascii="Times New Roman" w:hAnsi="Times New Roman" w:cs="Times New Roman"/>
          <w:sz w:val="24"/>
          <w:szCs w:val="24"/>
        </w:rPr>
        <w:t xml:space="preserve"> electioneering communications indicate a campaign related purpose.”  </w:t>
      </w:r>
      <w:r>
        <w:rPr>
          <w:rFonts w:ascii="Times New Roman" w:hAnsi="Times New Roman" w:cs="Times New Roman"/>
          <w:i/>
          <w:sz w:val="24"/>
          <w:szCs w:val="24"/>
        </w:rPr>
        <w:t>Id.</w:t>
      </w:r>
      <w:r>
        <w:rPr>
          <w:rFonts w:ascii="Times New Roman" w:hAnsi="Times New Roman" w:cs="Times New Roman"/>
          <w:sz w:val="24"/>
          <w:szCs w:val="24"/>
        </w:rPr>
        <w:t xml:space="preserve">  Accordingly, the Court reversed the dismissal and remanded for reconsideration </w:t>
      </w:r>
      <w:r w:rsidR="00E63250">
        <w:rPr>
          <w:rFonts w:ascii="Times New Roman" w:hAnsi="Times New Roman" w:cs="Times New Roman"/>
          <w:sz w:val="24"/>
          <w:szCs w:val="24"/>
        </w:rPr>
        <w:t>within thirty days</w:t>
      </w:r>
      <w:r w:rsidR="00425704">
        <w:rPr>
          <w:rFonts w:ascii="Times New Roman" w:hAnsi="Times New Roman" w:cs="Times New Roman"/>
          <w:sz w:val="24"/>
          <w:szCs w:val="24"/>
        </w:rPr>
        <w:t>,</w:t>
      </w:r>
      <w:r w:rsidR="00E63250">
        <w:rPr>
          <w:rFonts w:ascii="Times New Roman" w:hAnsi="Times New Roman" w:cs="Times New Roman"/>
          <w:sz w:val="24"/>
          <w:szCs w:val="24"/>
        </w:rPr>
        <w:t xml:space="preserve"> </w:t>
      </w:r>
      <w:r>
        <w:rPr>
          <w:rFonts w:ascii="Times New Roman" w:hAnsi="Times New Roman" w:cs="Times New Roman"/>
          <w:sz w:val="24"/>
          <w:szCs w:val="24"/>
        </w:rPr>
        <w:t xml:space="preserve">to be made in conformity with the Court’s declaration.  </w:t>
      </w:r>
      <w:r>
        <w:rPr>
          <w:rFonts w:ascii="Times New Roman" w:hAnsi="Times New Roman" w:cs="Times New Roman"/>
          <w:i/>
          <w:sz w:val="24"/>
          <w:szCs w:val="24"/>
        </w:rPr>
        <w:t>Id.</w:t>
      </w:r>
      <w:r>
        <w:rPr>
          <w:rFonts w:ascii="Times New Roman" w:hAnsi="Times New Roman" w:cs="Times New Roman"/>
          <w:sz w:val="24"/>
          <w:szCs w:val="24"/>
        </w:rPr>
        <w:t xml:space="preserve"> at *43–44. </w:t>
      </w:r>
    </w:p>
    <w:p w14:paraId="5A1739E7" w14:textId="295DB152" w:rsidR="00E63250" w:rsidRPr="00E63250" w:rsidRDefault="00E63250"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t>On October</w:t>
      </w:r>
      <w:r w:rsidR="008E6263">
        <w:rPr>
          <w:rFonts w:ascii="Times New Roman" w:hAnsi="Times New Roman" w:cs="Times New Roman"/>
          <w:sz w:val="24"/>
          <w:szCs w:val="24"/>
        </w:rPr>
        <w:t xml:space="preserve"> 19</w:t>
      </w:r>
      <w:r>
        <w:rPr>
          <w:rFonts w:ascii="Times New Roman" w:hAnsi="Times New Roman" w:cs="Times New Roman"/>
          <w:sz w:val="24"/>
          <w:szCs w:val="24"/>
        </w:rPr>
        <w:t xml:space="preserve">, 2016, the FEC notified Plaintiffs that the Commission had once again deadlocked on the question of whether AAN had violated 52 U.S.C. §§ 30102, 30103, 30104, and therefore the Commission had voted to once again close its file on AAN.  Accompanying the notice was a new statement of reasons by Chairman Matthew S. Petersen and Commissioners Caroline C. Hunter and Lee E. Goodman (“Petersen, Hunter, Goodman AAN Remand </w:t>
      </w:r>
      <w:proofErr w:type="spellStart"/>
      <w:r>
        <w:rPr>
          <w:rFonts w:ascii="Times New Roman" w:hAnsi="Times New Roman" w:cs="Times New Roman"/>
          <w:sz w:val="24"/>
          <w:szCs w:val="24"/>
        </w:rPr>
        <w:t>SoR</w:t>
      </w:r>
      <w:proofErr w:type="spellEnd"/>
      <w:r>
        <w:rPr>
          <w:rFonts w:ascii="Times New Roman" w:hAnsi="Times New Roman" w:cs="Times New Roman"/>
          <w:sz w:val="24"/>
          <w:szCs w:val="24"/>
        </w:rPr>
        <w:t>”)—the same commissioners who had voted against finding reason to believe AAN violated the FECA in the first instance—explain</w:t>
      </w:r>
      <w:r w:rsidR="001E5923">
        <w:rPr>
          <w:rFonts w:ascii="Times New Roman" w:hAnsi="Times New Roman" w:cs="Times New Roman"/>
          <w:sz w:val="24"/>
          <w:szCs w:val="24"/>
        </w:rPr>
        <w:t>ing</w:t>
      </w:r>
      <w:r>
        <w:rPr>
          <w:rFonts w:ascii="Times New Roman" w:hAnsi="Times New Roman" w:cs="Times New Roman"/>
          <w:sz w:val="24"/>
          <w:szCs w:val="24"/>
        </w:rPr>
        <w:t xml:space="preserve"> their continued refusal to find reason to believe AAN had </w:t>
      </w:r>
      <w:r w:rsidR="00425704">
        <w:rPr>
          <w:rFonts w:ascii="Times New Roman" w:hAnsi="Times New Roman" w:cs="Times New Roman"/>
          <w:sz w:val="24"/>
          <w:szCs w:val="24"/>
        </w:rPr>
        <w:t xml:space="preserve">violated the FECA by failing </w:t>
      </w:r>
      <w:r>
        <w:rPr>
          <w:rFonts w:ascii="Times New Roman" w:hAnsi="Times New Roman" w:cs="Times New Roman"/>
          <w:sz w:val="24"/>
          <w:szCs w:val="24"/>
        </w:rPr>
        <w:t xml:space="preserve">to register as a political committee.  </w:t>
      </w:r>
      <w:r w:rsidR="00F7624C">
        <w:rPr>
          <w:rFonts w:ascii="Times New Roman" w:hAnsi="Times New Roman" w:cs="Times New Roman"/>
          <w:i/>
          <w:sz w:val="24"/>
          <w:szCs w:val="24"/>
        </w:rPr>
        <w:t>See</w:t>
      </w:r>
      <w:r w:rsidR="00F7624C">
        <w:rPr>
          <w:rFonts w:ascii="Times New Roman" w:hAnsi="Times New Roman" w:cs="Times New Roman"/>
          <w:sz w:val="24"/>
          <w:szCs w:val="24"/>
        </w:rPr>
        <w:t xml:space="preserve"> Ex. 1.</w:t>
      </w:r>
    </w:p>
    <w:p w14:paraId="2ABCCD34" w14:textId="340389F6" w:rsidR="00E63250" w:rsidRPr="00C16096" w:rsidRDefault="00E966E6"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hAnsi="Times New Roman" w:cs="Times New Roman"/>
          <w:sz w:val="24"/>
          <w:szCs w:val="24"/>
        </w:rPr>
        <w:t xml:space="preserve">Petersen, Hunter, Goodman AAN Remand </w:t>
      </w:r>
      <w:proofErr w:type="spellStart"/>
      <w:r>
        <w:rPr>
          <w:rFonts w:ascii="Times New Roman" w:hAnsi="Times New Roman" w:cs="Times New Roman"/>
          <w:sz w:val="24"/>
          <w:szCs w:val="24"/>
        </w:rPr>
        <w:t>SoR</w:t>
      </w:r>
      <w:proofErr w:type="spellEnd"/>
      <w:r w:rsidR="005D1127">
        <w:rPr>
          <w:rFonts w:ascii="Times New Roman" w:hAnsi="Times New Roman" w:cs="Times New Roman"/>
          <w:sz w:val="24"/>
          <w:szCs w:val="24"/>
        </w:rPr>
        <w:t xml:space="preserve">, the commissioners </w:t>
      </w:r>
      <w:r w:rsidR="001E5923">
        <w:rPr>
          <w:rFonts w:ascii="Times New Roman" w:hAnsi="Times New Roman" w:cs="Times New Roman"/>
          <w:sz w:val="24"/>
          <w:szCs w:val="24"/>
        </w:rPr>
        <w:t xml:space="preserve">no longer excluded all electioneering communications, but rather </w:t>
      </w:r>
      <w:r w:rsidR="005D1127">
        <w:rPr>
          <w:rFonts w:ascii="Times New Roman" w:hAnsi="Times New Roman" w:cs="Times New Roman"/>
          <w:sz w:val="24"/>
          <w:szCs w:val="24"/>
        </w:rPr>
        <w:t xml:space="preserve">conducted an “[a]d-by-[a]d </w:t>
      </w:r>
      <w:r w:rsidR="005D1127">
        <w:rPr>
          <w:rFonts w:ascii="Times New Roman" w:hAnsi="Times New Roman" w:cs="Times New Roman"/>
          <w:sz w:val="24"/>
          <w:szCs w:val="24"/>
        </w:rPr>
        <w:lastRenderedPageBreak/>
        <w:t>[a]</w:t>
      </w:r>
      <w:proofErr w:type="spellStart"/>
      <w:r w:rsidR="005D1127">
        <w:rPr>
          <w:rFonts w:ascii="Times New Roman" w:hAnsi="Times New Roman" w:cs="Times New Roman"/>
          <w:sz w:val="24"/>
          <w:szCs w:val="24"/>
        </w:rPr>
        <w:t>nalysis</w:t>
      </w:r>
      <w:proofErr w:type="spellEnd"/>
      <w:r w:rsidR="005D1127">
        <w:rPr>
          <w:rFonts w:ascii="Times New Roman" w:hAnsi="Times New Roman" w:cs="Times New Roman"/>
          <w:sz w:val="24"/>
          <w:szCs w:val="24"/>
        </w:rPr>
        <w:t xml:space="preserve">” of each of AAN’s electioneering communications in 2010 to determine whether the ad </w:t>
      </w:r>
      <w:r w:rsidR="00C25F7C">
        <w:rPr>
          <w:rFonts w:ascii="Times New Roman" w:hAnsi="Times New Roman" w:cs="Times New Roman"/>
          <w:sz w:val="24"/>
          <w:szCs w:val="24"/>
        </w:rPr>
        <w:t xml:space="preserve">demonstrated </w:t>
      </w:r>
      <w:r w:rsidR="005D1127">
        <w:rPr>
          <w:rFonts w:ascii="Times New Roman" w:hAnsi="Times New Roman" w:cs="Times New Roman"/>
          <w:sz w:val="24"/>
          <w:szCs w:val="24"/>
        </w:rPr>
        <w:t xml:space="preserve">an electoral purpose.  </w:t>
      </w:r>
      <w:r w:rsidR="00C16096">
        <w:rPr>
          <w:rFonts w:ascii="Times New Roman" w:hAnsi="Times New Roman" w:cs="Times New Roman"/>
          <w:sz w:val="24"/>
          <w:szCs w:val="24"/>
        </w:rPr>
        <w:t xml:space="preserve">To guide that analysis, the Petersen, Hunter, Goodman AAN Remand </w:t>
      </w:r>
      <w:proofErr w:type="spellStart"/>
      <w:r w:rsidR="00C16096">
        <w:rPr>
          <w:rFonts w:ascii="Times New Roman" w:hAnsi="Times New Roman" w:cs="Times New Roman"/>
          <w:sz w:val="24"/>
          <w:szCs w:val="24"/>
        </w:rPr>
        <w:t>SoR</w:t>
      </w:r>
      <w:proofErr w:type="spellEnd"/>
      <w:r w:rsidR="00C16096">
        <w:rPr>
          <w:rFonts w:ascii="Times New Roman" w:hAnsi="Times New Roman" w:cs="Times New Roman"/>
          <w:sz w:val="24"/>
          <w:szCs w:val="24"/>
        </w:rPr>
        <w:t xml:space="preserve"> laid out the following framework to analyze an ad</w:t>
      </w:r>
      <w:r w:rsidR="00983DAB">
        <w:rPr>
          <w:rFonts w:ascii="Times New Roman" w:hAnsi="Times New Roman" w:cs="Times New Roman"/>
          <w:sz w:val="24"/>
          <w:szCs w:val="24"/>
        </w:rPr>
        <w:t>’</w:t>
      </w:r>
      <w:r w:rsidR="00C16096">
        <w:rPr>
          <w:rFonts w:ascii="Times New Roman" w:hAnsi="Times New Roman" w:cs="Times New Roman"/>
          <w:sz w:val="24"/>
          <w:szCs w:val="24"/>
        </w:rPr>
        <w:t>s electoral purpose:</w:t>
      </w:r>
    </w:p>
    <w:p w14:paraId="646C7DED" w14:textId="686B0B93" w:rsidR="00C16096" w:rsidRPr="00C16096" w:rsidRDefault="00C16096" w:rsidP="00C16096">
      <w:pPr>
        <w:pStyle w:val="NoSpacing"/>
        <w:spacing w:after="240"/>
        <w:ind w:left="1440" w:right="1440"/>
        <w:rPr>
          <w:rFonts w:ascii="Times New Roman" w:eastAsia="Times New Roman" w:hAnsi="Times New Roman" w:cs="Times New Roman"/>
          <w:sz w:val="24"/>
          <w:szCs w:val="24"/>
        </w:rPr>
      </w:pPr>
      <w:r>
        <w:rPr>
          <w:rFonts w:ascii="Times New Roman" w:hAnsi="Times New Roman" w:cs="Times New Roman"/>
          <w:sz w:val="24"/>
          <w:szCs w:val="24"/>
        </w:rPr>
        <w:t>In evaluating major purpose, our starting point is the language of the communication itself.  In other words, we look at the ad’s specific language for references to candidacies, elections, voting, political parties, or other indicia that the costs of the ad should be counted towards a determination that the organization’s major purpose is to nominate or elect candidates.  We also examine the extent to which the ad focuses on issues important to the group or merely on the candidates reference</w:t>
      </w:r>
      <w:r w:rsidR="00983DAB">
        <w:rPr>
          <w:rFonts w:ascii="Times New Roman" w:hAnsi="Times New Roman" w:cs="Times New Roman"/>
          <w:sz w:val="24"/>
          <w:szCs w:val="24"/>
        </w:rPr>
        <w:t>d</w:t>
      </w:r>
      <w:r>
        <w:rPr>
          <w:rFonts w:ascii="Times New Roman" w:hAnsi="Times New Roman" w:cs="Times New Roman"/>
          <w:sz w:val="24"/>
          <w:szCs w:val="24"/>
        </w:rPr>
        <w:t xml:space="preserve"> in the ad.  Additionally, we consider information beyond the content of the ad only to the extent necessary to provide context to understand better the message being conveyed.  Finally, we ascertain whether the communication contains a call to action and, if so, whether the call relates to the speaker’s issue agenda or, rather, to the election or defeat of federal candidates.</w:t>
      </w:r>
    </w:p>
    <w:p w14:paraId="736FD2D3" w14:textId="3F3BFCA2" w:rsidR="00C16096" w:rsidRPr="00917F22" w:rsidRDefault="00C25F7C"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Applying </w:t>
      </w:r>
      <w:r w:rsidR="006718C5">
        <w:rPr>
          <w:rFonts w:ascii="Times New Roman" w:eastAsia="Times New Roman" w:hAnsi="Times New Roman" w:cs="Times New Roman"/>
          <w:sz w:val="24"/>
          <w:szCs w:val="24"/>
        </w:rPr>
        <w:t xml:space="preserve">that test, the </w:t>
      </w:r>
      <w:r w:rsidR="006718C5">
        <w:rPr>
          <w:rFonts w:ascii="Times New Roman" w:hAnsi="Times New Roman" w:cs="Times New Roman"/>
          <w:sz w:val="24"/>
          <w:szCs w:val="24"/>
        </w:rPr>
        <w:t xml:space="preserve">Petersen, Hunter, Goodman AAN Remand </w:t>
      </w:r>
      <w:proofErr w:type="spellStart"/>
      <w:r w:rsidR="006718C5">
        <w:rPr>
          <w:rFonts w:ascii="Times New Roman" w:hAnsi="Times New Roman" w:cs="Times New Roman"/>
          <w:sz w:val="24"/>
          <w:szCs w:val="24"/>
        </w:rPr>
        <w:t>SoR</w:t>
      </w:r>
      <w:proofErr w:type="spellEnd"/>
      <w:r w:rsidR="006718C5">
        <w:rPr>
          <w:rFonts w:ascii="Times New Roman" w:hAnsi="Times New Roman" w:cs="Times New Roman"/>
          <w:sz w:val="24"/>
          <w:szCs w:val="24"/>
        </w:rPr>
        <w:t xml:space="preserve"> found only </w:t>
      </w:r>
      <w:r w:rsidR="00FB160A">
        <w:rPr>
          <w:rFonts w:ascii="Times New Roman" w:hAnsi="Times New Roman" w:cs="Times New Roman"/>
          <w:sz w:val="24"/>
          <w:szCs w:val="24"/>
        </w:rPr>
        <w:t>four</w:t>
      </w:r>
      <w:r w:rsidR="006718C5">
        <w:rPr>
          <w:rFonts w:ascii="Times New Roman" w:hAnsi="Times New Roman" w:cs="Times New Roman"/>
          <w:sz w:val="24"/>
          <w:szCs w:val="24"/>
        </w:rPr>
        <w:t xml:space="preserve"> of AAN’s twenty types of electioneering communications </w:t>
      </w:r>
      <w:r w:rsidR="006718C5" w:rsidRPr="006718C5">
        <w:rPr>
          <w:rFonts w:ascii="Times New Roman" w:eastAsia="Times New Roman" w:hAnsi="Times New Roman" w:cs="Times New Roman"/>
          <w:color w:val="auto"/>
          <w:sz w:val="24"/>
          <w:szCs w:val="24"/>
          <w:bdr w:val="none" w:sz="0" w:space="0" w:color="auto"/>
        </w:rPr>
        <w:t>“may reasonably support an inference that their cost may count toward a determination that AAN’s major purpose was the nomination or election of federal candidates.”</w:t>
      </w:r>
      <w:r w:rsidR="006718C5">
        <w:rPr>
          <w:rFonts w:ascii="Times New Roman" w:eastAsia="Times New Roman" w:hAnsi="Times New Roman" w:cs="Times New Roman"/>
          <w:color w:val="auto"/>
          <w:sz w:val="24"/>
          <w:szCs w:val="24"/>
          <w:bdr w:val="none" w:sz="0" w:space="0" w:color="auto"/>
        </w:rPr>
        <w:t xml:space="preserve">  </w:t>
      </w:r>
      <w:r w:rsidR="00FB160A">
        <w:rPr>
          <w:rFonts w:ascii="Times New Roman" w:eastAsia="Times New Roman" w:hAnsi="Times New Roman" w:cs="Times New Roman"/>
          <w:color w:val="auto"/>
          <w:sz w:val="24"/>
          <w:szCs w:val="24"/>
          <w:bdr w:val="none" w:sz="0" w:space="0" w:color="auto"/>
        </w:rPr>
        <w:t xml:space="preserve">In particular, they found that any ad </w:t>
      </w:r>
      <w:r w:rsidR="00747303">
        <w:rPr>
          <w:rFonts w:ascii="Times New Roman" w:eastAsia="Times New Roman" w:hAnsi="Times New Roman" w:cs="Times New Roman"/>
          <w:color w:val="auto"/>
          <w:sz w:val="24"/>
          <w:szCs w:val="24"/>
          <w:bdr w:val="none" w:sz="0" w:space="0" w:color="auto"/>
        </w:rPr>
        <w:t xml:space="preserve">that </w:t>
      </w:r>
      <w:r w:rsidR="00FB160A">
        <w:rPr>
          <w:rFonts w:ascii="Times New Roman" w:eastAsia="Times New Roman" w:hAnsi="Times New Roman" w:cs="Times New Roman"/>
          <w:color w:val="auto"/>
          <w:sz w:val="24"/>
          <w:szCs w:val="24"/>
          <w:bdr w:val="none" w:sz="0" w:space="0" w:color="auto"/>
        </w:rPr>
        <w:t xml:space="preserve">“focuses on government [policies] and calls on viewers to contact the named officeholders to urge them to take specific legislative </w:t>
      </w:r>
      <w:r w:rsidR="00747303">
        <w:rPr>
          <w:rFonts w:ascii="Times New Roman" w:eastAsia="Times New Roman" w:hAnsi="Times New Roman" w:cs="Times New Roman"/>
          <w:color w:val="auto"/>
          <w:sz w:val="24"/>
          <w:szCs w:val="24"/>
          <w:bdr w:val="none" w:sz="0" w:space="0" w:color="auto"/>
        </w:rPr>
        <w:t>actions” could not evidence an electoral purpose.</w:t>
      </w:r>
      <w:r w:rsidR="00FB160A">
        <w:rPr>
          <w:rFonts w:ascii="Times New Roman" w:eastAsia="Times New Roman" w:hAnsi="Times New Roman" w:cs="Times New Roman"/>
          <w:color w:val="auto"/>
          <w:sz w:val="24"/>
          <w:szCs w:val="24"/>
          <w:bdr w:val="none" w:sz="0" w:space="0" w:color="auto"/>
        </w:rPr>
        <w:t xml:space="preserve">  </w:t>
      </w:r>
      <w:r w:rsidR="00035898">
        <w:rPr>
          <w:rFonts w:ascii="Times New Roman" w:eastAsia="Times New Roman" w:hAnsi="Times New Roman" w:cs="Times New Roman"/>
          <w:color w:val="auto"/>
          <w:sz w:val="24"/>
          <w:szCs w:val="24"/>
          <w:bdr w:val="none" w:sz="0" w:space="0" w:color="auto"/>
        </w:rPr>
        <w:t xml:space="preserve">Adding only </w:t>
      </w:r>
      <w:r w:rsidR="0006625B">
        <w:rPr>
          <w:rFonts w:ascii="Times New Roman" w:eastAsia="Times New Roman" w:hAnsi="Times New Roman" w:cs="Times New Roman"/>
          <w:color w:val="auto"/>
          <w:sz w:val="24"/>
          <w:szCs w:val="24"/>
          <w:bdr w:val="none" w:sz="0" w:space="0" w:color="auto"/>
        </w:rPr>
        <w:t>AAN</w:t>
      </w:r>
      <w:r>
        <w:rPr>
          <w:rFonts w:ascii="Times New Roman" w:eastAsia="Times New Roman" w:hAnsi="Times New Roman" w:cs="Times New Roman"/>
          <w:color w:val="auto"/>
          <w:sz w:val="24"/>
          <w:szCs w:val="24"/>
          <w:bdr w:val="none" w:sz="0" w:space="0" w:color="auto"/>
        </w:rPr>
        <w:t>’s</w:t>
      </w:r>
      <w:r w:rsidR="0006625B">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spending </w:t>
      </w:r>
      <w:r w:rsidR="00035898">
        <w:rPr>
          <w:rFonts w:ascii="Times New Roman" w:eastAsia="Times New Roman" w:hAnsi="Times New Roman" w:cs="Times New Roman"/>
          <w:color w:val="auto"/>
          <w:sz w:val="24"/>
          <w:szCs w:val="24"/>
          <w:bdr w:val="none" w:sz="0" w:space="0" w:color="auto"/>
        </w:rPr>
        <w:t xml:space="preserve">on these </w:t>
      </w:r>
      <w:r w:rsidR="0006625B">
        <w:rPr>
          <w:rFonts w:ascii="Times New Roman" w:eastAsia="Times New Roman" w:hAnsi="Times New Roman" w:cs="Times New Roman"/>
          <w:color w:val="auto"/>
          <w:sz w:val="24"/>
          <w:szCs w:val="24"/>
          <w:bdr w:val="none" w:sz="0" w:space="0" w:color="auto"/>
        </w:rPr>
        <w:t>four</w:t>
      </w:r>
      <w:r w:rsidR="00035898">
        <w:rPr>
          <w:rFonts w:ascii="Times New Roman" w:eastAsia="Times New Roman" w:hAnsi="Times New Roman" w:cs="Times New Roman"/>
          <w:color w:val="auto"/>
          <w:sz w:val="24"/>
          <w:szCs w:val="24"/>
          <w:bdr w:val="none" w:sz="0" w:space="0" w:color="auto"/>
        </w:rPr>
        <w:t xml:space="preserve"> ad</w:t>
      </w:r>
      <w:r w:rsidR="0006625B">
        <w:rPr>
          <w:rFonts w:ascii="Times New Roman" w:eastAsia="Times New Roman" w:hAnsi="Times New Roman" w:cs="Times New Roman"/>
          <w:color w:val="auto"/>
          <w:sz w:val="24"/>
          <w:szCs w:val="24"/>
          <w:bdr w:val="none" w:sz="0" w:space="0" w:color="auto"/>
        </w:rPr>
        <w:t>s</w:t>
      </w:r>
      <w:r w:rsidR="00035898">
        <w:rPr>
          <w:rFonts w:ascii="Times New Roman" w:eastAsia="Times New Roman" w:hAnsi="Times New Roman" w:cs="Times New Roman"/>
          <w:color w:val="auto"/>
          <w:sz w:val="24"/>
          <w:szCs w:val="24"/>
          <w:bdr w:val="none" w:sz="0" w:space="0" w:color="auto"/>
        </w:rPr>
        <w:t xml:space="preserve"> to </w:t>
      </w:r>
      <w:r>
        <w:rPr>
          <w:rFonts w:ascii="Times New Roman" w:eastAsia="Times New Roman" w:hAnsi="Times New Roman" w:cs="Times New Roman"/>
          <w:color w:val="auto"/>
          <w:sz w:val="24"/>
          <w:szCs w:val="24"/>
          <w:bdr w:val="none" w:sz="0" w:space="0" w:color="auto"/>
        </w:rPr>
        <w:t xml:space="preserve">its spending </w:t>
      </w:r>
      <w:r w:rsidR="00035898">
        <w:rPr>
          <w:rFonts w:ascii="Times New Roman" w:eastAsia="Times New Roman" w:hAnsi="Times New Roman" w:cs="Times New Roman"/>
          <w:color w:val="auto"/>
          <w:sz w:val="24"/>
          <w:szCs w:val="24"/>
          <w:bdr w:val="none" w:sz="0" w:space="0" w:color="auto"/>
        </w:rPr>
        <w:t xml:space="preserve">on express advocacy, the </w:t>
      </w:r>
      <w:r w:rsidR="00035898" w:rsidRPr="00035898">
        <w:rPr>
          <w:rFonts w:ascii="Times New Roman" w:eastAsia="Times New Roman" w:hAnsi="Times New Roman" w:cs="Times New Roman"/>
          <w:color w:val="auto"/>
          <w:sz w:val="24"/>
          <w:szCs w:val="24"/>
          <w:bdr w:val="none" w:sz="0" w:space="0" w:color="auto"/>
        </w:rPr>
        <w:t xml:space="preserve">Petersen, Hunter, Goodman AAN Remand </w:t>
      </w:r>
      <w:proofErr w:type="spellStart"/>
      <w:r w:rsidR="00035898" w:rsidRPr="00035898">
        <w:rPr>
          <w:rFonts w:ascii="Times New Roman" w:eastAsia="Times New Roman" w:hAnsi="Times New Roman" w:cs="Times New Roman"/>
          <w:color w:val="auto"/>
          <w:sz w:val="24"/>
          <w:szCs w:val="24"/>
          <w:bdr w:val="none" w:sz="0" w:space="0" w:color="auto"/>
        </w:rPr>
        <w:t>SoR</w:t>
      </w:r>
      <w:proofErr w:type="spellEnd"/>
      <w:r w:rsidR="00035898">
        <w:rPr>
          <w:rFonts w:ascii="Times New Roman" w:eastAsia="Times New Roman" w:hAnsi="Times New Roman" w:cs="Times New Roman"/>
          <w:color w:val="auto"/>
          <w:sz w:val="24"/>
          <w:szCs w:val="24"/>
          <w:bdr w:val="none" w:sz="0" w:space="0" w:color="auto"/>
        </w:rPr>
        <w:t xml:space="preserve"> determined AAN had spent at most only 2</w:t>
      </w:r>
      <w:r w:rsidR="0006625B">
        <w:rPr>
          <w:rFonts w:ascii="Times New Roman" w:eastAsia="Times New Roman" w:hAnsi="Times New Roman" w:cs="Times New Roman"/>
          <w:color w:val="auto"/>
          <w:sz w:val="24"/>
          <w:szCs w:val="24"/>
          <w:bdr w:val="none" w:sz="0" w:space="0" w:color="auto"/>
        </w:rPr>
        <w:t>2</w:t>
      </w:r>
      <w:r w:rsidR="00035898">
        <w:rPr>
          <w:rFonts w:ascii="Times New Roman" w:eastAsia="Times New Roman" w:hAnsi="Times New Roman" w:cs="Times New Roman"/>
          <w:color w:val="auto"/>
          <w:sz w:val="24"/>
          <w:szCs w:val="24"/>
          <w:bdr w:val="none" w:sz="0" w:space="0" w:color="auto"/>
        </w:rPr>
        <w:t>% of its budge</w:t>
      </w:r>
      <w:r w:rsidR="00983DAB">
        <w:rPr>
          <w:rFonts w:ascii="Times New Roman" w:eastAsia="Times New Roman" w:hAnsi="Times New Roman" w:cs="Times New Roman"/>
          <w:color w:val="auto"/>
          <w:sz w:val="24"/>
          <w:szCs w:val="24"/>
          <w:bdr w:val="none" w:sz="0" w:space="0" w:color="auto"/>
        </w:rPr>
        <w:t>t</w:t>
      </w:r>
      <w:r w:rsidR="00035898">
        <w:rPr>
          <w:rFonts w:ascii="Times New Roman" w:eastAsia="Times New Roman" w:hAnsi="Times New Roman" w:cs="Times New Roman"/>
          <w:color w:val="auto"/>
          <w:sz w:val="24"/>
          <w:szCs w:val="24"/>
          <w:bdr w:val="none" w:sz="0" w:space="0" w:color="auto"/>
        </w:rPr>
        <w:t xml:space="preserve"> on election-related activities, and found that amount to be insufficient to conclude AAN had the major purpose of nominating or electing candidates. </w:t>
      </w:r>
    </w:p>
    <w:p w14:paraId="1F665B1E" w14:textId="382AAB10" w:rsidR="00917F22" w:rsidRPr="00917F22" w:rsidRDefault="00917F22" w:rsidP="00FB160A">
      <w:pPr>
        <w:pStyle w:val="NoSpacing"/>
        <w:keepNext/>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color w:val="auto"/>
          <w:sz w:val="24"/>
          <w:szCs w:val="24"/>
          <w:bdr w:val="none" w:sz="0" w:space="0" w:color="auto"/>
        </w:rPr>
        <w:lastRenderedPageBreak/>
        <w:t>Americans for Job Security</w:t>
      </w:r>
    </w:p>
    <w:p w14:paraId="7C5F05BF" w14:textId="627F0EF9" w:rsidR="00C16096" w:rsidRDefault="00FE6D95"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Alexandria, Virginia</w:t>
      </w:r>
      <w:r w:rsidR="00C25F7C">
        <w:rPr>
          <w:rFonts w:ascii="Times New Roman" w:eastAsia="Times New Roman" w:hAnsi="Times New Roman" w:cs="Times New Roman"/>
          <w:sz w:val="24"/>
          <w:szCs w:val="24"/>
        </w:rPr>
        <w:t>-</w:t>
      </w:r>
      <w:r>
        <w:rPr>
          <w:rFonts w:ascii="Times New Roman" w:eastAsia="Times New Roman" w:hAnsi="Times New Roman" w:cs="Times New Roman"/>
          <w:sz w:val="24"/>
          <w:szCs w:val="24"/>
        </w:rPr>
        <w:t>based organization Americans for Job Security (“AJS”), formed in 1997, is a tax-exempt organization organized under section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6) of the Internal Revenue Code.  Its president and treasurer is Stephen </w:t>
      </w:r>
      <w:proofErr w:type="spellStart"/>
      <w:r>
        <w:rPr>
          <w:rFonts w:ascii="Times New Roman" w:eastAsia="Times New Roman" w:hAnsi="Times New Roman" w:cs="Times New Roman"/>
          <w:sz w:val="24"/>
          <w:szCs w:val="24"/>
        </w:rPr>
        <w:t>DeMaura</w:t>
      </w:r>
      <w:proofErr w:type="spellEnd"/>
      <w:r>
        <w:rPr>
          <w:rFonts w:ascii="Times New Roman" w:eastAsia="Times New Roman" w:hAnsi="Times New Roman" w:cs="Times New Roman"/>
          <w:sz w:val="24"/>
          <w:szCs w:val="24"/>
        </w:rPr>
        <w:t>.</w:t>
      </w:r>
    </w:p>
    <w:p w14:paraId="667C303F" w14:textId="4A8B8FEC" w:rsidR="00FE6D95" w:rsidRDefault="00870FAF"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AJS describes itself as an “independent, bi-partisan, pro-business issue advocacy organization,” with the chief goal of “educating the public on issues of importance to business, and encouraging a strong job-creating economy that promotes a pro-growth agenda.”  According to its articles of incorporation, </w:t>
      </w:r>
      <w:r w:rsidR="00C25F7C">
        <w:rPr>
          <w:rFonts w:ascii="Times New Roman" w:eastAsia="Times New Roman" w:hAnsi="Times New Roman" w:cs="Times New Roman"/>
          <w:sz w:val="24"/>
          <w:szCs w:val="24"/>
        </w:rPr>
        <w:t xml:space="preserve">AJS </w:t>
      </w:r>
      <w:r>
        <w:rPr>
          <w:rFonts w:ascii="Times New Roman" w:eastAsia="Times New Roman" w:hAnsi="Times New Roman" w:cs="Times New Roman"/>
          <w:sz w:val="24"/>
          <w:szCs w:val="24"/>
        </w:rPr>
        <w:t>was incorporated for the purpose of uniting “in a common organization businesses, business leaders, entrepreneurs, and associations of businesses” and to “promote the common business interest of its member</w:t>
      </w:r>
      <w:r w:rsidR="00C25F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 . . by helping the American public to better understand public policy issues of interest to business.”  </w:t>
      </w:r>
    </w:p>
    <w:p w14:paraId="4B7355EF" w14:textId="04EE5875" w:rsidR="00870FAF" w:rsidRDefault="00870FAF"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Between January 15 and October 31, 2010, according to reports AJS filed with the FEC, AJS spent $8,971,043 on independent expenditures and electioneering communications, largely on broadcasting television and Internet advertisements in 20 primary and general elections.</w:t>
      </w:r>
    </w:p>
    <w:p w14:paraId="6D80AAC6" w14:textId="003BC111" w:rsidR="00870FAF" w:rsidRPr="00592C58" w:rsidRDefault="00870FAF" w:rsidP="00592C58">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AJS reported to the FEC spending $4,414,524 on independent expenditures and $4,556,519 on electioneering communications through October 31, 2010, and $4,908,846 on independent expenditures for calendar year 2010. </w:t>
      </w:r>
      <w:r w:rsidR="00F53056">
        <w:rPr>
          <w:rFonts w:ascii="Times New Roman" w:eastAsia="Times New Roman" w:hAnsi="Times New Roman" w:cs="Times New Roman"/>
          <w:sz w:val="24"/>
          <w:szCs w:val="24"/>
        </w:rPr>
        <w:t xml:space="preserve"> </w:t>
      </w:r>
      <w:r w:rsidR="0072393F">
        <w:rPr>
          <w:rFonts w:ascii="Times New Roman" w:eastAsia="Times New Roman" w:hAnsi="Times New Roman" w:cs="Times New Roman"/>
          <w:sz w:val="24"/>
          <w:szCs w:val="24"/>
        </w:rPr>
        <w:t>AJS made no additional electioneering communications in 2010 after October 31, 2010.</w:t>
      </w:r>
    </w:p>
    <w:p w14:paraId="7C246D87" w14:textId="28D32546" w:rsidR="00870FAF" w:rsidRDefault="00870FAF"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AJS </w:t>
      </w:r>
      <w:r w:rsidR="00592C58">
        <w:rPr>
          <w:rFonts w:ascii="Times New Roman" w:eastAsia="Times New Roman" w:hAnsi="Times New Roman" w:cs="Times New Roman"/>
          <w:sz w:val="24"/>
          <w:szCs w:val="24"/>
        </w:rPr>
        <w:t>spent significant sums on about ten versions of electioneering communications covering seven different federal races</w:t>
      </w:r>
      <w:r>
        <w:rPr>
          <w:rFonts w:ascii="Times New Roman" w:eastAsia="Times New Roman" w:hAnsi="Times New Roman" w:cs="Times New Roman"/>
          <w:sz w:val="24"/>
          <w:szCs w:val="24"/>
        </w:rPr>
        <w:t xml:space="preserve">.  For example, AJS spent $479,268 on January 15, 2010, producing and broadcasting an advertisement promoting Scott Brown, then a state senator and the Republican candidate in the January 19, 2010 special election for a U.S. </w:t>
      </w:r>
      <w:r>
        <w:rPr>
          <w:rFonts w:ascii="Times New Roman" w:eastAsia="Times New Roman" w:hAnsi="Times New Roman" w:cs="Times New Roman"/>
          <w:sz w:val="24"/>
          <w:szCs w:val="24"/>
        </w:rPr>
        <w:lastRenderedPageBreak/>
        <w:t>Senate seat in Massachusetts.  AJ</w:t>
      </w:r>
      <w:r w:rsidR="002F7A0C">
        <w:rPr>
          <w:rFonts w:ascii="Times New Roman" w:eastAsia="Times New Roman" w:hAnsi="Times New Roman" w:cs="Times New Roman"/>
          <w:sz w:val="24"/>
          <w:szCs w:val="24"/>
        </w:rPr>
        <w:t>S</w:t>
      </w:r>
      <w:r>
        <w:rPr>
          <w:rFonts w:ascii="Times New Roman" w:eastAsia="Times New Roman" w:hAnsi="Times New Roman" w:cs="Times New Roman"/>
          <w:sz w:val="24"/>
          <w:szCs w:val="24"/>
        </w:rPr>
        <w:t>’s advertisement first told viewers that “behind closed doors, Washington decides the future of our health care, with no transparency or accountability.  They are slashing Medicare and raising taxes, and only listening to the special interests.”  AJ</w:t>
      </w:r>
      <w:r w:rsidR="00E4145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then said that “one Massachusetts leader says slow down, get health care right.  Scott Brown says protect Medicare, don’t raise taxes, </w:t>
      </w:r>
      <w:proofErr w:type="gramStart"/>
      <w:r>
        <w:rPr>
          <w:rFonts w:ascii="Times New Roman" w:eastAsia="Times New Roman" w:hAnsi="Times New Roman" w:cs="Times New Roman"/>
          <w:sz w:val="24"/>
          <w:szCs w:val="24"/>
        </w:rPr>
        <w:t>listen</w:t>
      </w:r>
      <w:proofErr w:type="gramEnd"/>
      <w:r>
        <w:rPr>
          <w:rFonts w:ascii="Times New Roman" w:eastAsia="Times New Roman" w:hAnsi="Times New Roman" w:cs="Times New Roman"/>
          <w:sz w:val="24"/>
          <w:szCs w:val="24"/>
        </w:rPr>
        <w:t xml:space="preserve"> to the people, not the lobbyists.”  AJS’s advertisement conclude</w:t>
      </w:r>
      <w:r w:rsidR="00E4145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by encourag</w:t>
      </w:r>
      <w:r w:rsidR="00E4145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voters to “call Scott Brown and tell him you agree Washington should listen to us on health care for a change.”  </w:t>
      </w:r>
    </w:p>
    <w:p w14:paraId="00B6BBE4" w14:textId="5643F98B" w:rsidR="00870FAF" w:rsidRDefault="000E31F2"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November 1, 2009 through October 31, 2010—AJS’s fiscal year—AJS reported to the IRS spending a total of $12,417,809 on expenditures.  </w:t>
      </w:r>
      <w:r w:rsidR="001D2EA7">
        <w:rPr>
          <w:rFonts w:ascii="Times New Roman" w:eastAsia="Times New Roman" w:hAnsi="Times New Roman" w:cs="Times New Roman"/>
          <w:sz w:val="24"/>
          <w:szCs w:val="24"/>
        </w:rPr>
        <w:t>AJS report</w:t>
      </w:r>
      <w:r w:rsidR="00E4145D">
        <w:rPr>
          <w:rFonts w:ascii="Times New Roman" w:eastAsia="Times New Roman" w:hAnsi="Times New Roman" w:cs="Times New Roman"/>
          <w:sz w:val="24"/>
          <w:szCs w:val="24"/>
        </w:rPr>
        <w:t>ed</w:t>
      </w:r>
      <w:r w:rsidR="001D2EA7">
        <w:rPr>
          <w:rFonts w:ascii="Times New Roman" w:eastAsia="Times New Roman" w:hAnsi="Times New Roman" w:cs="Times New Roman"/>
          <w:sz w:val="24"/>
          <w:szCs w:val="24"/>
        </w:rPr>
        <w:t xml:space="preserve"> spending only $4,351,478 on political expenditures, less than </w:t>
      </w:r>
      <w:r w:rsidR="0072393F">
        <w:rPr>
          <w:rFonts w:ascii="Times New Roman" w:eastAsia="Times New Roman" w:hAnsi="Times New Roman" w:cs="Times New Roman"/>
          <w:sz w:val="24"/>
          <w:szCs w:val="24"/>
        </w:rPr>
        <w:t xml:space="preserve">what </w:t>
      </w:r>
      <w:r w:rsidR="001D2EA7">
        <w:rPr>
          <w:rFonts w:ascii="Times New Roman" w:eastAsia="Times New Roman" w:hAnsi="Times New Roman" w:cs="Times New Roman"/>
          <w:sz w:val="24"/>
          <w:szCs w:val="24"/>
        </w:rPr>
        <w:t xml:space="preserve">AJS reported to the FEC it spent on its independent expenditures alone.  </w:t>
      </w:r>
      <w:r>
        <w:rPr>
          <w:rFonts w:ascii="Times New Roman" w:eastAsia="Times New Roman" w:hAnsi="Times New Roman" w:cs="Times New Roman"/>
          <w:sz w:val="24"/>
          <w:szCs w:val="24"/>
        </w:rPr>
        <w:t xml:space="preserve">Plaintiffs </w:t>
      </w:r>
      <w:r w:rsidR="0072393F">
        <w:rPr>
          <w:rFonts w:ascii="Times New Roman" w:eastAsia="Times New Roman" w:hAnsi="Times New Roman" w:cs="Times New Roman"/>
          <w:sz w:val="24"/>
          <w:szCs w:val="24"/>
        </w:rPr>
        <w:t xml:space="preserve">do not possess knowledge sufficient to determine how much of that reported </w:t>
      </w:r>
      <w:r w:rsidR="00F53056">
        <w:rPr>
          <w:rFonts w:ascii="Times New Roman" w:eastAsia="Times New Roman" w:hAnsi="Times New Roman" w:cs="Times New Roman"/>
          <w:sz w:val="24"/>
          <w:szCs w:val="24"/>
        </w:rPr>
        <w:t xml:space="preserve">amount </w:t>
      </w:r>
      <w:r w:rsidR="0072393F">
        <w:rPr>
          <w:rFonts w:ascii="Times New Roman" w:eastAsia="Times New Roman" w:hAnsi="Times New Roman" w:cs="Times New Roman"/>
          <w:sz w:val="24"/>
          <w:szCs w:val="24"/>
        </w:rPr>
        <w:t>to allocate to AJS’s political expenses in 2010.</w:t>
      </w:r>
      <w:r>
        <w:rPr>
          <w:rFonts w:ascii="Times New Roman" w:eastAsia="Times New Roman" w:hAnsi="Times New Roman" w:cs="Times New Roman"/>
          <w:sz w:val="24"/>
          <w:szCs w:val="24"/>
        </w:rPr>
        <w:t xml:space="preserve">  </w:t>
      </w:r>
      <w:r w:rsidR="001D2EA7">
        <w:rPr>
          <w:rFonts w:ascii="Times New Roman" w:eastAsia="Times New Roman" w:hAnsi="Times New Roman" w:cs="Times New Roman"/>
          <w:sz w:val="24"/>
          <w:szCs w:val="24"/>
        </w:rPr>
        <w:t>Combined</w:t>
      </w:r>
      <w:r>
        <w:rPr>
          <w:rFonts w:ascii="Times New Roman" w:eastAsia="Times New Roman" w:hAnsi="Times New Roman" w:cs="Times New Roman"/>
          <w:sz w:val="24"/>
          <w:szCs w:val="24"/>
        </w:rPr>
        <w:t xml:space="preserve">, AJS’s spending on independent expenditures and electioneering communications for </w:t>
      </w:r>
      <w:r w:rsidR="0072393F">
        <w:rPr>
          <w:rFonts w:ascii="Times New Roman" w:eastAsia="Times New Roman" w:hAnsi="Times New Roman" w:cs="Times New Roman"/>
          <w:sz w:val="24"/>
          <w:szCs w:val="24"/>
        </w:rPr>
        <w:t>its fiscal year</w:t>
      </w:r>
      <w:r w:rsidR="00F530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comprised 72.2 percent of its total spending. </w:t>
      </w:r>
    </w:p>
    <w:p w14:paraId="4EECD2CC" w14:textId="1CA49AFC" w:rsidR="001022D7" w:rsidRDefault="001022D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8, 201</w:t>
      </w:r>
      <w:r w:rsidR="002F7A0C">
        <w:rPr>
          <w:rFonts w:ascii="Times New Roman" w:eastAsia="Times New Roman" w:hAnsi="Times New Roman" w:cs="Times New Roman"/>
          <w:sz w:val="24"/>
          <w:szCs w:val="24"/>
        </w:rPr>
        <w:t>2</w:t>
      </w:r>
      <w:r>
        <w:rPr>
          <w:rFonts w:ascii="Times New Roman" w:eastAsia="Times New Roman" w:hAnsi="Times New Roman" w:cs="Times New Roman"/>
          <w:sz w:val="24"/>
          <w:szCs w:val="24"/>
        </w:rPr>
        <w:t>, plaintiffs CREW and Melanie Sloan filed a complaint with the FEC against AJS for violati</w:t>
      </w:r>
      <w:r w:rsidR="00E4145D">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the FECA (“MUR 65</w:t>
      </w:r>
      <w:r w:rsidR="002F7A0C">
        <w:rPr>
          <w:rFonts w:ascii="Times New Roman" w:eastAsia="Times New Roman" w:hAnsi="Times New Roman" w:cs="Times New Roman"/>
          <w:sz w:val="24"/>
          <w:szCs w:val="24"/>
        </w:rPr>
        <w:t>3</w:t>
      </w:r>
      <w:r>
        <w:rPr>
          <w:rFonts w:ascii="Times New Roman" w:eastAsia="Times New Roman" w:hAnsi="Times New Roman" w:cs="Times New Roman"/>
          <w:sz w:val="24"/>
          <w:szCs w:val="24"/>
        </w:rPr>
        <w:t>8”).  The complaint alleged</w:t>
      </w:r>
      <w:r w:rsidR="0093212B">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as demonstrated by its extensive spending on federal campaign activities, </w:t>
      </w:r>
      <w:r w:rsidR="00E4145D">
        <w:rPr>
          <w:rFonts w:ascii="Times New Roman" w:eastAsia="Times New Roman" w:hAnsi="Times New Roman" w:cs="Times New Roman"/>
          <w:sz w:val="24"/>
          <w:szCs w:val="24"/>
        </w:rPr>
        <w:t xml:space="preserve">AJS’s </w:t>
      </w:r>
      <w:r>
        <w:rPr>
          <w:rFonts w:ascii="Times New Roman" w:eastAsia="Times New Roman" w:hAnsi="Times New Roman" w:cs="Times New Roman"/>
          <w:sz w:val="24"/>
          <w:szCs w:val="24"/>
        </w:rPr>
        <w:t xml:space="preserve">major purpose in 2010 was the nomination or election of federal candidates.  As a result, AJS violated the FECA, 52 U.S.C. §§ 30103, 30104, and the relevant implementing FEC regulations.  </w:t>
      </w:r>
    </w:p>
    <w:p w14:paraId="2F0F8752" w14:textId="261A2FD1" w:rsidR="001022D7" w:rsidRDefault="001022D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2, 2013, the OGC issued the First General Counsel’s Report (“AJS Report”) recommending that the Commission find reason to believe </w:t>
      </w:r>
      <w:r w:rsidR="0093212B">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because AJS had as its major purpose federal campaign activity during 2010, AJS violated 52 U.S.C. § 30102, 30103, and 30104 by failing to organize, register, and report as a political committee.  The OGC found </w:t>
      </w:r>
      <w:r>
        <w:rPr>
          <w:rFonts w:ascii="Times New Roman" w:eastAsia="Times New Roman" w:hAnsi="Times New Roman" w:cs="Times New Roman"/>
          <w:sz w:val="24"/>
          <w:szCs w:val="24"/>
        </w:rPr>
        <w:lastRenderedPageBreak/>
        <w:t>AJS spent approximately $4,908,</w:t>
      </w:r>
      <w:r w:rsidR="00473815">
        <w:rPr>
          <w:rFonts w:ascii="Times New Roman" w:eastAsia="Times New Roman" w:hAnsi="Times New Roman" w:cs="Times New Roman"/>
          <w:sz w:val="24"/>
          <w:szCs w:val="24"/>
        </w:rPr>
        <w:t>847</w:t>
      </w:r>
      <w:r>
        <w:rPr>
          <w:rFonts w:ascii="Times New Roman" w:eastAsia="Times New Roman" w:hAnsi="Times New Roman" w:cs="Times New Roman"/>
          <w:sz w:val="24"/>
          <w:szCs w:val="24"/>
        </w:rPr>
        <w:t xml:space="preserve"> in independent expenditures and $4,598,5</w:t>
      </w:r>
      <w:r w:rsidR="004D19CB">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on electioneering communications in the 2010 calendar year.  The OGC looked to AJS’s activities in the 2010 calendar year, rather than the </w:t>
      </w:r>
      <w:r w:rsidR="001D2EA7">
        <w:rPr>
          <w:rFonts w:ascii="Times New Roman" w:eastAsia="Times New Roman" w:hAnsi="Times New Roman" w:cs="Times New Roman"/>
          <w:sz w:val="24"/>
          <w:szCs w:val="24"/>
        </w:rPr>
        <w:t>AJS’s “entire history</w:t>
      </w:r>
      <w:r>
        <w:rPr>
          <w:rFonts w:ascii="Times New Roman" w:eastAsia="Times New Roman" w:hAnsi="Times New Roman" w:cs="Times New Roman"/>
          <w:sz w:val="24"/>
          <w:szCs w:val="24"/>
        </w:rPr>
        <w:t>”</w:t>
      </w:r>
      <w:r w:rsidR="001D2EA7">
        <w:rPr>
          <w:rFonts w:ascii="Times New Roman" w:eastAsia="Times New Roman" w:hAnsi="Times New Roman" w:cs="Times New Roman"/>
          <w:sz w:val="24"/>
          <w:szCs w:val="24"/>
        </w:rPr>
        <w:t xml:space="preserve"> spanning </w:t>
      </w:r>
      <w:r w:rsidR="0093212B">
        <w:rPr>
          <w:rFonts w:ascii="Times New Roman" w:eastAsia="Times New Roman" w:hAnsi="Times New Roman" w:cs="Times New Roman"/>
          <w:sz w:val="24"/>
          <w:szCs w:val="24"/>
        </w:rPr>
        <w:t xml:space="preserve">more than </w:t>
      </w:r>
      <w:r w:rsidR="001D2EA7">
        <w:rPr>
          <w:rFonts w:ascii="Times New Roman" w:eastAsia="Times New Roman" w:hAnsi="Times New Roman" w:cs="Times New Roman"/>
          <w:sz w:val="24"/>
          <w:szCs w:val="24"/>
        </w:rPr>
        <w:t>a decade,</w:t>
      </w:r>
      <w:r>
        <w:rPr>
          <w:rFonts w:ascii="Times New Roman" w:eastAsia="Times New Roman" w:hAnsi="Times New Roman" w:cs="Times New Roman"/>
          <w:sz w:val="24"/>
          <w:szCs w:val="24"/>
        </w:rPr>
        <w:t xml:space="preserve"> explaining a calendar year test “provides the firmest statutory footing for the Commission’s major purpose determination—and is consistent with the FECA’s plain language.”  The OGC concluded at least 76.5 percent of AJS’s total spending for the 2010 calendar year went </w:t>
      </w:r>
      <w:r w:rsidR="001D2EA7">
        <w:rPr>
          <w:rFonts w:ascii="Times New Roman" w:eastAsia="Times New Roman" w:hAnsi="Times New Roman" w:cs="Times New Roman"/>
          <w:sz w:val="24"/>
          <w:szCs w:val="24"/>
        </w:rPr>
        <w:t xml:space="preserve">to federal campaign activity.  </w:t>
      </w:r>
      <w:r>
        <w:rPr>
          <w:rFonts w:ascii="Times New Roman" w:eastAsia="Times New Roman" w:hAnsi="Times New Roman" w:cs="Times New Roman"/>
          <w:sz w:val="24"/>
          <w:szCs w:val="24"/>
        </w:rPr>
        <w:t>As a result, the OGC concluded, AJS’s spending show</w:t>
      </w:r>
      <w:r w:rsidR="00E4145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group’s major purpose during 2010 was federal campaign activity.</w:t>
      </w:r>
    </w:p>
    <w:p w14:paraId="6C65D0B4" w14:textId="4AB7AD0E" w:rsidR="001022D7" w:rsidRDefault="001022D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detailed analysis of the AJS Report, on June 2</w:t>
      </w:r>
      <w:r w:rsidR="004D19CB">
        <w:rPr>
          <w:rFonts w:ascii="Times New Roman" w:eastAsia="Times New Roman" w:hAnsi="Times New Roman" w:cs="Times New Roman"/>
          <w:sz w:val="24"/>
          <w:szCs w:val="24"/>
        </w:rPr>
        <w:t>4</w:t>
      </w:r>
      <w:r>
        <w:rPr>
          <w:rFonts w:ascii="Times New Roman" w:eastAsia="Times New Roman" w:hAnsi="Times New Roman" w:cs="Times New Roman"/>
          <w:sz w:val="24"/>
          <w:szCs w:val="24"/>
        </w:rPr>
        <w:t>, 2014, the Commission by a vote of three to three failed to find reason to believe AJS had violated 52 U.S.C. §</w:t>
      </w:r>
      <w:r w:rsidR="004D1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30102, 30103, and 30104, and by a vote of six to zero closed the file.</w:t>
      </w:r>
    </w:p>
    <w:p w14:paraId="5F9F826F" w14:textId="55A9322D" w:rsidR="001022D7" w:rsidRDefault="001022D7"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30, 2014, the FEC released the statement of reasons of the three commissioners voting against finding “reason to believe”—then Chairman Lee E. Goodman and Commissioners Caroline C. Hunter and Matthew S. Petersen (“Goodman, Hunter, </w:t>
      </w:r>
      <w:proofErr w:type="gramStart"/>
      <w:r>
        <w:rPr>
          <w:rFonts w:ascii="Times New Roman" w:eastAsia="Times New Roman" w:hAnsi="Times New Roman" w:cs="Times New Roman"/>
          <w:sz w:val="24"/>
          <w:szCs w:val="24"/>
        </w:rPr>
        <w:t>Petersen</w:t>
      </w:r>
      <w:proofErr w:type="gramEnd"/>
      <w:r>
        <w:rPr>
          <w:rFonts w:ascii="Times New Roman" w:eastAsia="Times New Roman" w:hAnsi="Times New Roman" w:cs="Times New Roman"/>
          <w:sz w:val="24"/>
          <w:szCs w:val="24"/>
        </w:rPr>
        <w:t xml:space="preserve"> AJS </w:t>
      </w:r>
      <w:proofErr w:type="spellStart"/>
      <w:r>
        <w:rPr>
          <w:rFonts w:ascii="Times New Roman" w:eastAsia="Times New Roman" w:hAnsi="Times New Roman" w:cs="Times New Roman"/>
          <w:sz w:val="24"/>
          <w:szCs w:val="24"/>
        </w:rPr>
        <w:t>SoR</w:t>
      </w:r>
      <w:proofErr w:type="spellEnd"/>
      <w:r>
        <w:rPr>
          <w:rFonts w:ascii="Times New Roman" w:eastAsia="Times New Roman" w:hAnsi="Times New Roman" w:cs="Times New Roman"/>
          <w:sz w:val="24"/>
          <w:szCs w:val="24"/>
        </w:rPr>
        <w:t xml:space="preserve">”).  These commissioners, “[a]s the controlling decision makers,” concluded AJS’s major purpose, as “an organization that has spent less than ten percent of its funds on express advocacy during its entire existence . . . </w:t>
      </w:r>
      <w:r w:rsidR="004D19CB">
        <w:rPr>
          <w:rFonts w:ascii="Times New Roman" w:eastAsia="Times New Roman" w:hAnsi="Times New Roman" w:cs="Times New Roman"/>
          <w:sz w:val="24"/>
          <w:szCs w:val="24"/>
        </w:rPr>
        <w:t>[was</w:t>
      </w:r>
      <w:r w:rsidR="0093212B">
        <w:rPr>
          <w:rFonts w:ascii="Times New Roman" w:eastAsia="Times New Roman" w:hAnsi="Times New Roman" w:cs="Times New Roman"/>
          <w:sz w:val="24"/>
          <w:szCs w:val="24"/>
        </w:rPr>
        <w:t xml:space="preserve"> an</w:t>
      </w:r>
      <w:r w:rsidR="004D1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issue-advocacy organization </w:t>
      </w:r>
      <w:r w:rsidR="004D19C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cannot be regulated as a political committee.”  </w:t>
      </w:r>
    </w:p>
    <w:p w14:paraId="1C3A634B" w14:textId="24CDF618" w:rsidR="0018618C" w:rsidRDefault="00E4145D" w:rsidP="0018618C">
      <w:pPr>
        <w:pStyle w:val="NoSpacing"/>
        <w:numPr>
          <w:ilvl w:val="0"/>
          <w:numId w:val="3"/>
        </w:numPr>
        <w:tabs>
          <w:tab w:val="clear" w:pos="72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reach </w:t>
      </w:r>
      <w:r w:rsidR="0018618C">
        <w:rPr>
          <w:rFonts w:ascii="Times New Roman" w:eastAsia="Times New Roman" w:hAnsi="Times New Roman" w:cs="Times New Roman"/>
          <w:sz w:val="24"/>
          <w:szCs w:val="24"/>
        </w:rPr>
        <w:t xml:space="preserve">that conclusion, the Goodman, Hunter, Petersen AJS </w:t>
      </w:r>
      <w:proofErr w:type="spellStart"/>
      <w:r w:rsidR="0018618C">
        <w:rPr>
          <w:rFonts w:ascii="Times New Roman" w:eastAsia="Times New Roman" w:hAnsi="Times New Roman" w:cs="Times New Roman"/>
          <w:sz w:val="24"/>
          <w:szCs w:val="24"/>
        </w:rPr>
        <w:t>SoR</w:t>
      </w:r>
      <w:proofErr w:type="spellEnd"/>
      <w:r w:rsidR="0018618C">
        <w:rPr>
          <w:rFonts w:ascii="Times New Roman" w:eastAsia="Times New Roman" w:hAnsi="Times New Roman" w:cs="Times New Roman"/>
          <w:sz w:val="24"/>
          <w:szCs w:val="24"/>
        </w:rPr>
        <w:t xml:space="preserve"> interpreted the First Amendment and judicial precedent to require the FEC to ignore AJS’s communications that did not contain express advocacy, and to treat all such non-express advocacy communications, including AJS’s electioneering communications, as not</w:t>
      </w:r>
      <w:r w:rsidR="004D7ADF">
        <w:rPr>
          <w:rFonts w:ascii="Times New Roman" w:eastAsia="Times New Roman" w:hAnsi="Times New Roman" w:cs="Times New Roman"/>
          <w:sz w:val="24"/>
          <w:szCs w:val="24"/>
        </w:rPr>
        <w:t xml:space="preserve"> </w:t>
      </w:r>
      <w:r w:rsidR="0018618C">
        <w:rPr>
          <w:rFonts w:ascii="Times New Roman" w:eastAsia="Times New Roman" w:hAnsi="Times New Roman" w:cs="Times New Roman"/>
          <w:sz w:val="24"/>
          <w:szCs w:val="24"/>
        </w:rPr>
        <w:t xml:space="preserve">indicative of a purpose to nominate or elect candidates.  The Goodman, Hunter, Petersen AJS </w:t>
      </w:r>
      <w:proofErr w:type="spellStart"/>
      <w:r w:rsidR="0018618C">
        <w:rPr>
          <w:rFonts w:ascii="Times New Roman" w:eastAsia="Times New Roman" w:hAnsi="Times New Roman" w:cs="Times New Roman"/>
          <w:sz w:val="24"/>
          <w:szCs w:val="24"/>
        </w:rPr>
        <w:t>SoR</w:t>
      </w:r>
      <w:proofErr w:type="spellEnd"/>
      <w:r w:rsidR="0018618C">
        <w:rPr>
          <w:rFonts w:ascii="Times New Roman" w:eastAsia="Times New Roman" w:hAnsi="Times New Roman" w:cs="Times New Roman"/>
          <w:sz w:val="24"/>
          <w:szCs w:val="24"/>
        </w:rPr>
        <w:t xml:space="preserve"> further interpreted the </w:t>
      </w:r>
      <w:r w:rsidR="0018618C">
        <w:rPr>
          <w:rFonts w:ascii="Times New Roman" w:eastAsia="Times New Roman" w:hAnsi="Times New Roman" w:cs="Times New Roman"/>
          <w:i/>
          <w:sz w:val="24"/>
          <w:szCs w:val="24"/>
        </w:rPr>
        <w:t>Buckley</w:t>
      </w:r>
      <w:r w:rsidR="0018618C">
        <w:rPr>
          <w:rFonts w:ascii="Times New Roman" w:eastAsia="Times New Roman" w:hAnsi="Times New Roman" w:cs="Times New Roman"/>
          <w:sz w:val="24"/>
          <w:szCs w:val="24"/>
        </w:rPr>
        <w:t xml:space="preserve">’s </w:t>
      </w:r>
      <w:r w:rsidR="0018618C">
        <w:rPr>
          <w:rFonts w:ascii="Times New Roman" w:eastAsia="Times New Roman" w:hAnsi="Times New Roman" w:cs="Times New Roman"/>
          <w:sz w:val="24"/>
          <w:szCs w:val="24"/>
        </w:rPr>
        <w:lastRenderedPageBreak/>
        <w:t xml:space="preserve">“major purpose” limitation as considering the group’s activities over its entire life and treating all such activity as equally important to determine whether the group’s current major purpose was to nominate or elect candidates.  </w:t>
      </w:r>
    </w:p>
    <w:p w14:paraId="167995D3" w14:textId="60A16A9F" w:rsidR="0018618C" w:rsidRDefault="0018618C" w:rsidP="0018618C">
      <w:pPr>
        <w:pStyle w:val="NoSpacing"/>
        <w:numPr>
          <w:ilvl w:val="0"/>
          <w:numId w:val="3"/>
        </w:numPr>
        <w:tabs>
          <w:tab w:val="clear" w:pos="72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August 20, 2014, Plaintiffs filed suit against the FEC alleging the FEC’s dismissal of Plaintiffs</w:t>
      </w:r>
      <w:r w:rsidR="001D2E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administrative complaint against AJS was “contrary to law,” in violation of 52 U.S.C. § </w:t>
      </w:r>
      <w:r w:rsidR="004248F3">
        <w:rPr>
          <w:rFonts w:ascii="Times New Roman" w:eastAsia="Times New Roman" w:hAnsi="Times New Roman" w:cs="Times New Roman"/>
          <w:sz w:val="24"/>
          <w:szCs w:val="24"/>
        </w:rPr>
        <w:t>30109(a</w:t>
      </w:r>
      <w:proofErr w:type="gramStart"/>
      <w:r w:rsidR="004248F3">
        <w:rPr>
          <w:rFonts w:ascii="Times New Roman" w:eastAsia="Times New Roman" w:hAnsi="Times New Roman" w:cs="Times New Roman"/>
          <w:sz w:val="24"/>
          <w:szCs w:val="24"/>
        </w:rPr>
        <w:t>)(</w:t>
      </w:r>
      <w:proofErr w:type="gramEnd"/>
      <w:r w:rsidR="004248F3">
        <w:rPr>
          <w:rFonts w:ascii="Times New Roman" w:eastAsia="Times New Roman" w:hAnsi="Times New Roman" w:cs="Times New Roman"/>
          <w:sz w:val="24"/>
          <w:szCs w:val="24"/>
        </w:rPr>
        <w:t xml:space="preserve">8)(C). </w:t>
      </w:r>
    </w:p>
    <w:p w14:paraId="60385079" w14:textId="16869CAA" w:rsidR="00053F03" w:rsidRDefault="004248F3"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19, 2016, in the same order in which Judge Cooper found the FEC’s dismissal of Plaintiffs’ complaint against A</w:t>
      </w:r>
      <w:r w:rsidR="00E4145D">
        <w:rPr>
          <w:rFonts w:ascii="Times New Roman" w:eastAsia="Times New Roman" w:hAnsi="Times New Roman" w:cs="Times New Roman"/>
          <w:sz w:val="24"/>
          <w:szCs w:val="24"/>
        </w:rPr>
        <w:t>A</w:t>
      </w:r>
      <w:r>
        <w:rPr>
          <w:rFonts w:ascii="Times New Roman" w:eastAsia="Times New Roman" w:hAnsi="Times New Roman" w:cs="Times New Roman"/>
          <w:sz w:val="24"/>
          <w:szCs w:val="24"/>
        </w:rPr>
        <w:t>N was contrary to law, Judge Cooper also found the FEC’s dismissal of Plaintiffs’ complaint against AJS was contrary to law</w:t>
      </w:r>
      <w:r w:rsidR="00E4145D">
        <w:rPr>
          <w:rFonts w:ascii="Times New Roman" w:eastAsia="Times New Roman" w:hAnsi="Times New Roman" w:cs="Times New Roman"/>
          <w:sz w:val="24"/>
          <w:szCs w:val="24"/>
        </w:rPr>
        <w:t xml:space="preserve"> and granted Plaintiffs’ motion for summary judgment</w:t>
      </w:r>
      <w:r>
        <w:rPr>
          <w:rFonts w:ascii="Times New Roman" w:eastAsia="Times New Roman" w:hAnsi="Times New Roman" w:cs="Times New Roman"/>
          <w:sz w:val="24"/>
          <w:szCs w:val="24"/>
        </w:rPr>
        <w:t xml:space="preserve">.  </w:t>
      </w:r>
      <w:r w:rsidRPr="004248F3">
        <w:rPr>
          <w:rFonts w:ascii="Times New Roman" w:eastAsia="Times New Roman" w:hAnsi="Times New Roman" w:cs="Times New Roman"/>
          <w:i/>
          <w:sz w:val="24"/>
          <w:szCs w:val="24"/>
        </w:rPr>
        <w:t>CREW</w:t>
      </w:r>
      <w:r>
        <w:rPr>
          <w:rFonts w:ascii="Times New Roman" w:eastAsia="Times New Roman" w:hAnsi="Times New Roman" w:cs="Times New Roman"/>
          <w:sz w:val="24"/>
          <w:szCs w:val="24"/>
        </w:rPr>
        <w:t xml:space="preserve">, </w:t>
      </w:r>
      <w:r w:rsidRPr="004248F3">
        <w:rPr>
          <w:rFonts w:ascii="Times New Roman" w:eastAsia="Times New Roman" w:hAnsi="Times New Roman" w:cs="Times New Roman"/>
          <w:sz w:val="24"/>
          <w:szCs w:val="24"/>
        </w:rPr>
        <w:t>2016 U.S. Dist. LEXIS 127308</w:t>
      </w:r>
      <w:r>
        <w:rPr>
          <w:rFonts w:ascii="Times New Roman" w:eastAsia="Times New Roman" w:hAnsi="Times New Roman" w:cs="Times New Roman"/>
          <w:sz w:val="24"/>
          <w:szCs w:val="24"/>
        </w:rPr>
        <w:t xml:space="preserve">.  </w:t>
      </w:r>
      <w:r w:rsidR="007143FB">
        <w:rPr>
          <w:rFonts w:ascii="Times New Roman" w:eastAsia="Times New Roman" w:hAnsi="Times New Roman" w:cs="Times New Roman"/>
          <w:sz w:val="24"/>
          <w:szCs w:val="24"/>
        </w:rPr>
        <w:t xml:space="preserve">In particular, as with AAN, </w:t>
      </w:r>
      <w:r w:rsidR="0099423F">
        <w:rPr>
          <w:rFonts w:ascii="Times New Roman" w:hAnsi="Times New Roman" w:cs="Times New Roman"/>
          <w:sz w:val="24"/>
          <w:szCs w:val="24"/>
        </w:rPr>
        <w:t>Judge Cooper ruled that the Goodman, Hunter, Petersen AJS</w:t>
      </w:r>
      <w:r w:rsidR="0099423F" w:rsidRPr="007143FB">
        <w:rPr>
          <w:rFonts w:ascii="Times New Roman" w:hAnsi="Times New Roman" w:cs="Times New Roman"/>
          <w:sz w:val="24"/>
          <w:szCs w:val="24"/>
        </w:rPr>
        <w:t xml:space="preserve"> </w:t>
      </w:r>
      <w:proofErr w:type="spellStart"/>
      <w:r w:rsidR="0099423F" w:rsidRPr="007143FB">
        <w:rPr>
          <w:rFonts w:ascii="Times New Roman" w:hAnsi="Times New Roman" w:cs="Times New Roman"/>
          <w:sz w:val="24"/>
          <w:szCs w:val="24"/>
        </w:rPr>
        <w:t>SoR</w:t>
      </w:r>
      <w:proofErr w:type="spellEnd"/>
      <w:r w:rsidR="0099423F" w:rsidRPr="007143FB">
        <w:rPr>
          <w:rFonts w:ascii="Times New Roman" w:hAnsi="Times New Roman" w:cs="Times New Roman"/>
          <w:sz w:val="24"/>
          <w:szCs w:val="24"/>
        </w:rPr>
        <w:t xml:space="preserve"> </w:t>
      </w:r>
      <w:r w:rsidR="0099423F">
        <w:rPr>
          <w:rFonts w:ascii="Times New Roman" w:hAnsi="Times New Roman" w:cs="Times New Roman"/>
          <w:sz w:val="24"/>
          <w:szCs w:val="24"/>
        </w:rPr>
        <w:t>committed legal error by concluding that the “First Amendment effectively required the agency to exclude from its consideration all non-express advocacy in the context of disclosure</w:t>
      </w:r>
      <w:r w:rsidR="007143FB">
        <w:rPr>
          <w:rFonts w:ascii="Times New Roman" w:eastAsia="Times New Roman" w:hAnsi="Times New Roman" w:cs="Times New Roman"/>
          <w:sz w:val="24"/>
          <w:szCs w:val="24"/>
        </w:rPr>
        <w:t xml:space="preserve">.”  </w:t>
      </w:r>
      <w:r w:rsidR="007143FB">
        <w:rPr>
          <w:rFonts w:ascii="Times New Roman" w:eastAsia="Times New Roman" w:hAnsi="Times New Roman" w:cs="Times New Roman"/>
          <w:i/>
          <w:sz w:val="24"/>
          <w:szCs w:val="24"/>
        </w:rPr>
        <w:t>Id.</w:t>
      </w:r>
      <w:r w:rsidR="007143FB">
        <w:rPr>
          <w:rFonts w:ascii="Times New Roman" w:eastAsia="Times New Roman" w:hAnsi="Times New Roman" w:cs="Times New Roman"/>
          <w:sz w:val="24"/>
          <w:szCs w:val="24"/>
        </w:rPr>
        <w:t xml:space="preserve"> at *37–38.  </w:t>
      </w:r>
    </w:p>
    <w:p w14:paraId="3AD35452" w14:textId="20565214" w:rsidR="0018618C" w:rsidRDefault="005A52BA"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Cooper further found that the </w:t>
      </w:r>
      <w:r w:rsidRPr="005A52BA">
        <w:rPr>
          <w:rFonts w:ascii="Times New Roman" w:eastAsia="Times New Roman" w:hAnsi="Times New Roman" w:cs="Times New Roman"/>
          <w:sz w:val="24"/>
          <w:szCs w:val="24"/>
        </w:rPr>
        <w:t xml:space="preserve">Goodman, Hunter, Petersen AJS </w:t>
      </w:r>
      <w:proofErr w:type="spellStart"/>
      <w:r w:rsidRPr="005A52BA">
        <w:rPr>
          <w:rFonts w:ascii="Times New Roman" w:eastAsia="Times New Roman" w:hAnsi="Times New Roman" w:cs="Times New Roman"/>
          <w:sz w:val="24"/>
          <w:szCs w:val="24"/>
        </w:rPr>
        <w:t>SoR</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“refusal to give any weight whatsoever to an organization’s relative spending in the most recent calendar year</w:t>
      </w:r>
      <w:r w:rsidRPr="005A52BA">
        <w:rPr>
          <w:rFonts w:ascii="Times New Roman" w:eastAsia="Times New Roman" w:hAnsi="Times New Roman" w:cs="Times New Roman"/>
          <w:sz w:val="24"/>
          <w:szCs w:val="24"/>
        </w:rPr>
        <w:t xml:space="preserve">—particularly in the case of a fifteen-year-old organization like AJS—indicates an arbitrary </w:t>
      </w:r>
      <w:r>
        <w:rPr>
          <w:rFonts w:ascii="Times New Roman" w:eastAsia="Times New Roman" w:hAnsi="Times New Roman" w:cs="Times New Roman"/>
          <w:sz w:val="24"/>
          <w:szCs w:val="24"/>
        </w:rPr>
        <w:t>‘</w:t>
      </w:r>
      <w:r w:rsidRPr="005A52BA">
        <w:rPr>
          <w:rFonts w:ascii="Times New Roman" w:eastAsia="Times New Roman" w:hAnsi="Times New Roman" w:cs="Times New Roman"/>
          <w:sz w:val="24"/>
          <w:szCs w:val="24"/>
        </w:rPr>
        <w:t>fail[</w:t>
      </w:r>
      <w:proofErr w:type="spellStart"/>
      <w:r w:rsidRPr="005A52BA">
        <w:rPr>
          <w:rFonts w:ascii="Times New Roman" w:eastAsia="Times New Roman" w:hAnsi="Times New Roman" w:cs="Times New Roman"/>
          <w:sz w:val="24"/>
          <w:szCs w:val="24"/>
        </w:rPr>
        <w:t>ure</w:t>
      </w:r>
      <w:proofErr w:type="spellEnd"/>
      <w:r w:rsidRPr="005A52BA">
        <w:rPr>
          <w:rFonts w:ascii="Times New Roman" w:eastAsia="Times New Roman" w:hAnsi="Times New Roman" w:cs="Times New Roman"/>
          <w:sz w:val="24"/>
          <w:szCs w:val="24"/>
        </w:rPr>
        <w:t>] to consider an important as</w:t>
      </w:r>
      <w:r>
        <w:rPr>
          <w:rFonts w:ascii="Times New Roman" w:eastAsia="Times New Roman" w:hAnsi="Times New Roman" w:cs="Times New Roman"/>
          <w:sz w:val="24"/>
          <w:szCs w:val="24"/>
        </w:rPr>
        <w:t xml:space="preserve">pect of the [relevant] problem.’”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at 40 (quoting </w:t>
      </w:r>
      <w:r>
        <w:rPr>
          <w:rFonts w:ascii="Times New Roman" w:eastAsia="Times New Roman" w:hAnsi="Times New Roman" w:cs="Times New Roman"/>
          <w:i/>
          <w:sz w:val="24"/>
          <w:szCs w:val="24"/>
        </w:rPr>
        <w:t xml:space="preserve">Nat’l </w:t>
      </w:r>
      <w:proofErr w:type="spellStart"/>
      <w:r>
        <w:rPr>
          <w:rFonts w:ascii="Times New Roman" w:eastAsia="Times New Roman" w:hAnsi="Times New Roman" w:cs="Times New Roman"/>
          <w:i/>
          <w:sz w:val="24"/>
          <w:szCs w:val="24"/>
        </w:rPr>
        <w:t>Ass’n</w:t>
      </w:r>
      <w:proofErr w:type="spellEnd"/>
      <w:r>
        <w:rPr>
          <w:rFonts w:ascii="Times New Roman" w:eastAsia="Times New Roman" w:hAnsi="Times New Roman" w:cs="Times New Roman"/>
          <w:i/>
          <w:sz w:val="24"/>
          <w:szCs w:val="24"/>
        </w:rPr>
        <w:t xml:space="preserve"> of Home Builders v. </w:t>
      </w:r>
      <w:proofErr w:type="spellStart"/>
      <w:r>
        <w:rPr>
          <w:rFonts w:ascii="Times New Roman" w:eastAsia="Times New Roman" w:hAnsi="Times New Roman" w:cs="Times New Roman"/>
          <w:i/>
          <w:sz w:val="24"/>
          <w:szCs w:val="24"/>
        </w:rPr>
        <w:t>Defs</w:t>
      </w:r>
      <w:proofErr w:type="spellEnd"/>
      <w:r>
        <w:rPr>
          <w:rFonts w:ascii="Times New Roman" w:eastAsia="Times New Roman" w:hAnsi="Times New Roman" w:cs="Times New Roman"/>
          <w:i/>
          <w:sz w:val="24"/>
          <w:szCs w:val="24"/>
        </w:rPr>
        <w:t>. of Wildlife</w:t>
      </w:r>
      <w:r>
        <w:rPr>
          <w:rFonts w:ascii="Times New Roman" w:eastAsia="Times New Roman" w:hAnsi="Times New Roman" w:cs="Times New Roman"/>
          <w:sz w:val="24"/>
          <w:szCs w:val="24"/>
        </w:rPr>
        <w:t xml:space="preserve">, 551 U.S. 644, 658 (2007)).  Accordingly, Judge Cooper reversed the dismissal of Plaintiffs’ complaint against AJS and remanded for reconsideration </w:t>
      </w:r>
      <w:r w:rsidRPr="005A52BA">
        <w:rPr>
          <w:rFonts w:ascii="Times New Roman" w:eastAsia="Times New Roman" w:hAnsi="Times New Roman" w:cs="Times New Roman"/>
          <w:sz w:val="24"/>
          <w:szCs w:val="24"/>
        </w:rPr>
        <w:t>within thirty days</w:t>
      </w:r>
      <w:r w:rsidR="00053F03">
        <w:rPr>
          <w:rFonts w:ascii="Times New Roman" w:eastAsia="Times New Roman" w:hAnsi="Times New Roman" w:cs="Times New Roman"/>
          <w:sz w:val="24"/>
          <w:szCs w:val="24"/>
        </w:rPr>
        <w:t>,</w:t>
      </w:r>
      <w:r w:rsidRPr="005A5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made </w:t>
      </w:r>
      <w:r w:rsidRPr="005A52BA">
        <w:rPr>
          <w:rFonts w:ascii="Times New Roman" w:eastAsia="Times New Roman" w:hAnsi="Times New Roman" w:cs="Times New Roman"/>
          <w:sz w:val="24"/>
          <w:szCs w:val="24"/>
        </w:rPr>
        <w:t xml:space="preserve">in conformity with the Court’s declaration.  </w:t>
      </w:r>
      <w:r w:rsidRPr="005A52BA">
        <w:rPr>
          <w:rFonts w:ascii="Times New Roman" w:eastAsia="Times New Roman" w:hAnsi="Times New Roman" w:cs="Times New Roman"/>
          <w:i/>
          <w:sz w:val="24"/>
          <w:szCs w:val="24"/>
        </w:rPr>
        <w:t>Id.</w:t>
      </w:r>
      <w:r w:rsidRPr="005A52BA">
        <w:rPr>
          <w:rFonts w:ascii="Times New Roman" w:eastAsia="Times New Roman" w:hAnsi="Times New Roman" w:cs="Times New Roman"/>
          <w:sz w:val="24"/>
          <w:szCs w:val="24"/>
        </w:rPr>
        <w:t xml:space="preserve"> at *43–44.</w:t>
      </w:r>
    </w:p>
    <w:p w14:paraId="14E8B365" w14:textId="30499ABA" w:rsidR="005A52BA" w:rsidRDefault="005A52BA"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Court’s thirty-day deadline expired on October 19, 2016.</w:t>
      </w:r>
    </w:p>
    <w:p w14:paraId="0926CB15" w14:textId="453371E4" w:rsidR="005A52BA" w:rsidRDefault="005A52BA"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Despite the expiration of the deadline, the FEC has neither informed Plaintiffs nor the Court of any action it has taken on the AJS matter beyond the Commission</w:t>
      </w:r>
      <w:r w:rsidR="0093212B">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s deadlocking on the question of whether to appeal Judge Cooper’s decision.  On information and belief, </w:t>
      </w:r>
      <w:r w:rsidR="004D7ADF">
        <w:rPr>
          <w:rFonts w:ascii="Times New Roman" w:eastAsia="Times New Roman" w:hAnsi="Times New Roman" w:cs="Times New Roman"/>
          <w:sz w:val="24"/>
          <w:szCs w:val="24"/>
        </w:rPr>
        <w:t xml:space="preserve">the AJS </w:t>
      </w:r>
      <w:r>
        <w:rPr>
          <w:rFonts w:ascii="Times New Roman" w:eastAsia="Times New Roman" w:hAnsi="Times New Roman" w:cs="Times New Roman"/>
          <w:sz w:val="24"/>
          <w:szCs w:val="24"/>
        </w:rPr>
        <w:t xml:space="preserve">matter remains open before the FEC and the Commission has failed to act in conformity with Judge Cooper’s September 19 Order within the proscribed time period. </w:t>
      </w:r>
    </w:p>
    <w:p w14:paraId="52E59F9A" w14:textId="77777777" w:rsidR="00141E9D" w:rsidRDefault="00141E9D" w:rsidP="00141E9D">
      <w:pPr>
        <w:pStyle w:val="NoSpacing"/>
        <w:keepNext/>
        <w:keepLines/>
        <w:spacing w:line="480" w:lineRule="auto"/>
        <w:jc w:val="center"/>
        <w:rPr>
          <w:rFonts w:ascii="Times New Roman" w:hAnsi="Times New Roman" w:cs="Times New Roman"/>
          <w:b/>
          <w:bCs/>
          <w:sz w:val="24"/>
          <w:szCs w:val="24"/>
          <w:u w:val="single"/>
        </w:rPr>
      </w:pPr>
      <w:r w:rsidRPr="00493F9C">
        <w:rPr>
          <w:rFonts w:ascii="Times New Roman" w:hAnsi="Times New Roman" w:cs="Times New Roman"/>
          <w:b/>
          <w:bCs/>
          <w:sz w:val="24"/>
          <w:szCs w:val="24"/>
          <w:u w:val="single"/>
        </w:rPr>
        <w:t>PLAINTIFF’S CLAIMS FOR RELIEF</w:t>
      </w:r>
    </w:p>
    <w:p w14:paraId="5825CF90" w14:textId="77777777" w:rsidR="00141E9D" w:rsidRPr="00493F9C" w:rsidRDefault="00141E9D" w:rsidP="00141E9D">
      <w:pPr>
        <w:pStyle w:val="NoSpacing"/>
        <w:keepNext/>
        <w:keepLines/>
        <w:jc w:val="center"/>
        <w:rPr>
          <w:rFonts w:ascii="Times New Roman" w:eastAsia="Times New Roman" w:hAnsi="Times New Roman" w:cs="Times New Roman"/>
          <w:b/>
          <w:bCs/>
          <w:sz w:val="24"/>
          <w:szCs w:val="24"/>
        </w:rPr>
      </w:pPr>
      <w:r w:rsidRPr="00493F9C">
        <w:rPr>
          <w:rFonts w:ascii="Times New Roman" w:hAnsi="Times New Roman" w:cs="Times New Roman"/>
          <w:b/>
          <w:bCs/>
          <w:sz w:val="24"/>
          <w:szCs w:val="24"/>
        </w:rPr>
        <w:t>CLAIM ONE</w:t>
      </w:r>
    </w:p>
    <w:p w14:paraId="1663BA22" w14:textId="56F6CC9A" w:rsidR="00141E9D" w:rsidRPr="00141E9D" w:rsidRDefault="00141E9D" w:rsidP="00141E9D">
      <w:pPr>
        <w:pStyle w:val="NoSpacing"/>
        <w:keepNext/>
        <w:keepLines/>
        <w:spacing w:after="240"/>
        <w:jc w:val="center"/>
        <w:rPr>
          <w:rFonts w:ascii="Times New Roman" w:eastAsia="Times New Roman" w:hAnsi="Times New Roman" w:cs="Times New Roman"/>
          <w:b/>
          <w:bCs/>
          <w:sz w:val="24"/>
          <w:szCs w:val="24"/>
          <w:u w:val="single"/>
        </w:rPr>
      </w:pPr>
      <w:r w:rsidRPr="00493F9C">
        <w:rPr>
          <w:rFonts w:ascii="Times New Roman" w:hAnsi="Times New Roman" w:cs="Times New Roman"/>
          <w:b/>
          <w:bCs/>
          <w:sz w:val="24"/>
          <w:szCs w:val="24"/>
        </w:rPr>
        <w:t xml:space="preserve">The FEC’s Dismissal </w:t>
      </w:r>
      <w:r>
        <w:rPr>
          <w:rFonts w:ascii="Times New Roman" w:hAnsi="Times New Roman" w:cs="Times New Roman"/>
          <w:b/>
          <w:bCs/>
          <w:sz w:val="24"/>
          <w:szCs w:val="24"/>
        </w:rPr>
        <w:t>of the AAN Matter on Remand</w:t>
      </w:r>
      <w:r w:rsidRPr="00493F9C">
        <w:rPr>
          <w:rFonts w:ascii="Times New Roman" w:hAnsi="Times New Roman" w:cs="Times New Roman"/>
          <w:b/>
          <w:bCs/>
          <w:sz w:val="24"/>
          <w:szCs w:val="24"/>
        </w:rPr>
        <w:t xml:space="preserve"> </w:t>
      </w:r>
      <w:r w:rsidR="00D8391F">
        <w:rPr>
          <w:rFonts w:ascii="Times New Roman" w:hAnsi="Times New Roman" w:cs="Times New Roman"/>
          <w:b/>
          <w:bCs/>
          <w:sz w:val="24"/>
          <w:szCs w:val="24"/>
        </w:rPr>
        <w:t>I</w:t>
      </w:r>
      <w:r w:rsidRPr="00493F9C">
        <w:rPr>
          <w:rFonts w:ascii="Times New Roman" w:hAnsi="Times New Roman" w:cs="Times New Roman"/>
          <w:b/>
          <w:bCs/>
          <w:sz w:val="24"/>
          <w:szCs w:val="24"/>
        </w:rPr>
        <w:t xml:space="preserve">s </w:t>
      </w:r>
      <w:r w:rsidRPr="00493F9C">
        <w:rPr>
          <w:rFonts w:ascii="Times New Roman" w:eastAsia="Times New Roman" w:hAnsi="Times New Roman" w:cs="Times New Roman"/>
          <w:b/>
          <w:bCs/>
          <w:sz w:val="24"/>
          <w:szCs w:val="24"/>
        </w:rPr>
        <w:br/>
      </w:r>
      <w:r w:rsidRPr="00493F9C">
        <w:rPr>
          <w:rFonts w:ascii="Times New Roman" w:hAnsi="Times New Roman" w:cs="Times New Roman"/>
          <w:b/>
          <w:bCs/>
          <w:sz w:val="24"/>
          <w:szCs w:val="24"/>
        </w:rPr>
        <w:t>Arbitrary, Capricious, an Abuse of Discretion, and Contrary to Law</w:t>
      </w:r>
    </w:p>
    <w:p w14:paraId="1E96B328" w14:textId="1450DDA3" w:rsidR="00141E9D" w:rsidRPr="00141E9D" w:rsidRDefault="00141E9D"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Plaintiffs re-allege and incorporate by reference all preceding paragraphs as fully set forth herein</w:t>
      </w:r>
      <w:r>
        <w:rPr>
          <w:rFonts w:ascii="Times New Roman" w:hAnsi="Times New Roman" w:cs="Times New Roman"/>
          <w:sz w:val="24"/>
          <w:szCs w:val="24"/>
        </w:rPr>
        <w:t>.</w:t>
      </w:r>
    </w:p>
    <w:p w14:paraId="04BAFB8C" w14:textId="41152D78" w:rsidR="00141E9D" w:rsidRPr="00FC42DC" w:rsidRDefault="00141E9D"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CF7913">
        <w:rPr>
          <w:rFonts w:ascii="Times New Roman" w:hAnsi="Times New Roman" w:cs="Times New Roman"/>
          <w:sz w:val="24"/>
          <w:szCs w:val="24"/>
        </w:rPr>
        <w:t xml:space="preserve">The FEC’s dismissal </w:t>
      </w:r>
      <w:r>
        <w:rPr>
          <w:rFonts w:ascii="Times New Roman" w:hAnsi="Times New Roman" w:cs="Times New Roman"/>
          <w:sz w:val="24"/>
          <w:szCs w:val="24"/>
        </w:rPr>
        <w:t xml:space="preserve">on remand </w:t>
      </w:r>
      <w:r w:rsidRPr="00CF7913">
        <w:rPr>
          <w:rFonts w:ascii="Times New Roman" w:hAnsi="Times New Roman" w:cs="Times New Roman"/>
          <w:sz w:val="24"/>
          <w:szCs w:val="24"/>
        </w:rPr>
        <w:t xml:space="preserve">of the </w:t>
      </w:r>
      <w:r>
        <w:rPr>
          <w:rFonts w:ascii="Times New Roman" w:hAnsi="Times New Roman" w:cs="Times New Roman"/>
          <w:sz w:val="24"/>
          <w:szCs w:val="24"/>
        </w:rPr>
        <w:t>Plaintiffs’ administrative complaint against AAN</w:t>
      </w:r>
      <w:r w:rsidRPr="00CF7913">
        <w:rPr>
          <w:rFonts w:ascii="Times New Roman" w:hAnsi="Times New Roman" w:cs="Times New Roman"/>
          <w:sz w:val="24"/>
          <w:szCs w:val="24"/>
        </w:rPr>
        <w:t xml:space="preserve"> was arbitrary, capricious, an abuse of discretion, and contrary to law in violation of 52 U.S.C. § 30109(a)(8)(C) </w:t>
      </w:r>
      <w:r>
        <w:rPr>
          <w:rFonts w:ascii="Times New Roman" w:hAnsi="Times New Roman" w:cs="Times New Roman"/>
          <w:sz w:val="24"/>
          <w:szCs w:val="24"/>
        </w:rPr>
        <w:t>because it was not in conformity with Judge Cooper’s September 19 Order and continued to</w:t>
      </w:r>
      <w:r w:rsidRPr="00CF7913">
        <w:rPr>
          <w:rFonts w:ascii="Times New Roman" w:hAnsi="Times New Roman" w:cs="Times New Roman"/>
          <w:sz w:val="24"/>
          <w:szCs w:val="24"/>
        </w:rPr>
        <w:t xml:space="preserve"> rest on impermis</w:t>
      </w:r>
      <w:r>
        <w:rPr>
          <w:rFonts w:ascii="Times New Roman" w:hAnsi="Times New Roman" w:cs="Times New Roman"/>
          <w:sz w:val="24"/>
          <w:szCs w:val="24"/>
        </w:rPr>
        <w:t xml:space="preserve">sible interpretations of law and arbitrary and capricious analyses.  </w:t>
      </w:r>
    </w:p>
    <w:p w14:paraId="269CF7C3" w14:textId="5DA867A7" w:rsidR="00FC42DC" w:rsidRPr="00127A28" w:rsidRDefault="00FC42DC" w:rsidP="00E07251">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t xml:space="preserve">Judge Cooper stated that it “blinks reality </w:t>
      </w:r>
      <w:r w:rsidRPr="00FC42DC">
        <w:rPr>
          <w:rFonts w:ascii="Times New Roman" w:hAnsi="Times New Roman" w:cs="Times New Roman"/>
          <w:sz w:val="24"/>
          <w:szCs w:val="24"/>
        </w:rPr>
        <w:t>to conclude that many of the ads considered by the Commissioners in this case were not designed to influence the election or defeat of a particular candidate in an ongoing race</w:t>
      </w:r>
      <w:r>
        <w:rPr>
          <w:rFonts w:ascii="Times New Roman" w:hAnsi="Times New Roman" w:cs="Times New Roman"/>
          <w:sz w:val="24"/>
          <w:szCs w:val="24"/>
        </w:rPr>
        <w:t xml:space="preserve">.”  Nonetheless, the </w:t>
      </w:r>
      <w:r w:rsidRPr="00FC42DC">
        <w:rPr>
          <w:rFonts w:ascii="Times New Roman" w:hAnsi="Times New Roman" w:cs="Times New Roman"/>
          <w:sz w:val="24"/>
          <w:szCs w:val="24"/>
        </w:rPr>
        <w:t xml:space="preserve">Petersen, Hunter, Goodman AAN Remand </w:t>
      </w:r>
      <w:proofErr w:type="spellStart"/>
      <w:r w:rsidRPr="00FC42DC">
        <w:rPr>
          <w:rFonts w:ascii="Times New Roman" w:hAnsi="Times New Roman" w:cs="Times New Roman"/>
          <w:sz w:val="24"/>
          <w:szCs w:val="24"/>
        </w:rPr>
        <w:t>SoR</w:t>
      </w:r>
      <w:proofErr w:type="spellEnd"/>
      <w:r>
        <w:rPr>
          <w:rFonts w:ascii="Times New Roman" w:hAnsi="Times New Roman" w:cs="Times New Roman"/>
          <w:sz w:val="24"/>
          <w:szCs w:val="24"/>
        </w:rPr>
        <w:t xml:space="preserve"> once again reache</w:t>
      </w:r>
      <w:r w:rsidR="001D2EA7">
        <w:rPr>
          <w:rFonts w:ascii="Times New Roman" w:hAnsi="Times New Roman" w:cs="Times New Roman"/>
          <w:sz w:val="24"/>
          <w:szCs w:val="24"/>
        </w:rPr>
        <w:t>d</w:t>
      </w:r>
      <w:r>
        <w:rPr>
          <w:rFonts w:ascii="Times New Roman" w:hAnsi="Times New Roman" w:cs="Times New Roman"/>
          <w:sz w:val="24"/>
          <w:szCs w:val="24"/>
        </w:rPr>
        <w:t xml:space="preserve"> that </w:t>
      </w:r>
      <w:r w:rsidR="0099423F">
        <w:rPr>
          <w:rFonts w:ascii="Times New Roman" w:hAnsi="Times New Roman" w:cs="Times New Roman"/>
          <w:sz w:val="24"/>
          <w:szCs w:val="24"/>
        </w:rPr>
        <w:t xml:space="preserve">erroneous </w:t>
      </w:r>
      <w:r>
        <w:rPr>
          <w:rFonts w:ascii="Times New Roman" w:hAnsi="Times New Roman" w:cs="Times New Roman"/>
          <w:sz w:val="24"/>
          <w:szCs w:val="24"/>
        </w:rPr>
        <w:t>conclusion by finding only four of AAN’s twenty electioneering communications, represent</w:t>
      </w:r>
      <w:r w:rsidR="00053F03">
        <w:rPr>
          <w:rFonts w:ascii="Times New Roman" w:hAnsi="Times New Roman" w:cs="Times New Roman"/>
          <w:sz w:val="24"/>
          <w:szCs w:val="24"/>
        </w:rPr>
        <w:t>ing</w:t>
      </w:r>
      <w:r>
        <w:rPr>
          <w:rFonts w:ascii="Times New Roman" w:hAnsi="Times New Roman" w:cs="Times New Roman"/>
          <w:sz w:val="24"/>
          <w:szCs w:val="24"/>
        </w:rPr>
        <w:t xml:space="preserve"> only 13.</w:t>
      </w:r>
      <w:r w:rsidR="001D5FB4">
        <w:rPr>
          <w:rFonts w:ascii="Times New Roman" w:hAnsi="Times New Roman" w:cs="Times New Roman"/>
          <w:sz w:val="24"/>
          <w:szCs w:val="24"/>
        </w:rPr>
        <w:t>4</w:t>
      </w:r>
      <w:r>
        <w:rPr>
          <w:rFonts w:ascii="Times New Roman" w:hAnsi="Times New Roman" w:cs="Times New Roman"/>
          <w:sz w:val="24"/>
          <w:szCs w:val="24"/>
        </w:rPr>
        <w:t xml:space="preserve"> percent of AAN</w:t>
      </w:r>
      <w:r w:rsidR="00053F03">
        <w:rPr>
          <w:rFonts w:ascii="Times New Roman" w:hAnsi="Times New Roman" w:cs="Times New Roman"/>
          <w:sz w:val="24"/>
          <w:szCs w:val="24"/>
        </w:rPr>
        <w:t>’s</w:t>
      </w:r>
      <w:r>
        <w:rPr>
          <w:rFonts w:ascii="Times New Roman" w:hAnsi="Times New Roman" w:cs="Times New Roman"/>
          <w:sz w:val="24"/>
          <w:szCs w:val="24"/>
        </w:rPr>
        <w:t xml:space="preserve"> </w:t>
      </w:r>
      <w:r w:rsidR="00053F03">
        <w:rPr>
          <w:rFonts w:ascii="Times New Roman" w:hAnsi="Times New Roman" w:cs="Times New Roman"/>
          <w:sz w:val="24"/>
          <w:szCs w:val="24"/>
        </w:rPr>
        <w:t xml:space="preserve">spending </w:t>
      </w:r>
      <w:r>
        <w:rPr>
          <w:rFonts w:ascii="Times New Roman" w:hAnsi="Times New Roman" w:cs="Times New Roman"/>
          <w:sz w:val="24"/>
          <w:szCs w:val="24"/>
        </w:rPr>
        <w:t xml:space="preserve">on such ads, were designed to influence federal elections.  The </w:t>
      </w:r>
      <w:r w:rsidRPr="00FC42DC">
        <w:rPr>
          <w:rFonts w:ascii="Times New Roman" w:hAnsi="Times New Roman" w:cs="Times New Roman"/>
          <w:sz w:val="24"/>
          <w:szCs w:val="24"/>
        </w:rPr>
        <w:t xml:space="preserve">Petersen, Hunter, Goodman AAN Remand </w:t>
      </w:r>
      <w:proofErr w:type="spellStart"/>
      <w:r w:rsidRPr="00FC42DC">
        <w:rPr>
          <w:rFonts w:ascii="Times New Roman" w:hAnsi="Times New Roman" w:cs="Times New Roman"/>
          <w:sz w:val="24"/>
          <w:szCs w:val="24"/>
        </w:rPr>
        <w:t>SoR</w:t>
      </w:r>
      <w:proofErr w:type="spellEnd"/>
      <w:r w:rsidR="0004633C">
        <w:rPr>
          <w:rFonts w:ascii="Times New Roman" w:hAnsi="Times New Roman" w:cs="Times New Roman"/>
          <w:sz w:val="24"/>
          <w:szCs w:val="24"/>
        </w:rPr>
        <w:t xml:space="preserve"> even found the advertisement that Judge Cooper quoted in full—AAN’s ad accusing </w:t>
      </w:r>
      <w:r w:rsidR="00053F03">
        <w:rPr>
          <w:rFonts w:ascii="Times New Roman" w:hAnsi="Times New Roman" w:cs="Times New Roman"/>
          <w:sz w:val="24"/>
          <w:szCs w:val="24"/>
        </w:rPr>
        <w:t xml:space="preserve">members of Congress </w:t>
      </w:r>
      <w:r w:rsidR="0004633C">
        <w:rPr>
          <w:rFonts w:ascii="Times New Roman" w:hAnsi="Times New Roman" w:cs="Times New Roman"/>
          <w:sz w:val="24"/>
          <w:szCs w:val="24"/>
        </w:rPr>
        <w:t xml:space="preserve">of voting to give “Viagra for convicted sex offenders”—was </w:t>
      </w:r>
      <w:r w:rsidR="0004633C">
        <w:rPr>
          <w:rFonts w:ascii="Times New Roman" w:hAnsi="Times New Roman" w:cs="Times New Roman"/>
          <w:i/>
          <w:sz w:val="24"/>
          <w:szCs w:val="24"/>
        </w:rPr>
        <w:t>not</w:t>
      </w:r>
      <w:r w:rsidR="0004633C">
        <w:rPr>
          <w:rFonts w:ascii="Times New Roman" w:hAnsi="Times New Roman" w:cs="Times New Roman"/>
          <w:sz w:val="24"/>
          <w:szCs w:val="24"/>
        </w:rPr>
        <w:t xml:space="preserve"> designed to influence elections.   </w:t>
      </w:r>
    </w:p>
    <w:p w14:paraId="000CF79C" w14:textId="55140B22" w:rsidR="00E829ED" w:rsidRPr="00E829ED" w:rsidRDefault="00127A28" w:rsidP="00141E9D">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Pr="00FC42DC">
        <w:rPr>
          <w:rFonts w:ascii="Times New Roman" w:hAnsi="Times New Roman" w:cs="Times New Roman"/>
          <w:sz w:val="24"/>
          <w:szCs w:val="24"/>
        </w:rPr>
        <w:t xml:space="preserve">Petersen, Hunter, Goodman AAN Remand </w:t>
      </w:r>
      <w:proofErr w:type="spellStart"/>
      <w:r w:rsidRPr="00FC42DC">
        <w:rPr>
          <w:rFonts w:ascii="Times New Roman" w:hAnsi="Times New Roman" w:cs="Times New Roman"/>
          <w:sz w:val="24"/>
          <w:szCs w:val="24"/>
        </w:rPr>
        <w:t>SoR</w:t>
      </w:r>
      <w:proofErr w:type="spellEnd"/>
      <w:r>
        <w:rPr>
          <w:rFonts w:ascii="Times New Roman" w:hAnsi="Times New Roman" w:cs="Times New Roman"/>
          <w:sz w:val="24"/>
          <w:szCs w:val="24"/>
        </w:rPr>
        <w:t xml:space="preserve"> reached that conclusion by applying a standard of law based on impermissible interpretations of Supreme Court precedent.  In particular, the </w:t>
      </w:r>
      <w:r w:rsidRPr="00127A28">
        <w:rPr>
          <w:rFonts w:ascii="Times New Roman" w:hAnsi="Times New Roman" w:cs="Times New Roman"/>
          <w:sz w:val="24"/>
          <w:szCs w:val="24"/>
        </w:rPr>
        <w:t xml:space="preserve">Petersen, Hunter, Goodman AAN Remand </w:t>
      </w:r>
      <w:proofErr w:type="spellStart"/>
      <w:r w:rsidRPr="00127A28">
        <w:rPr>
          <w:rFonts w:ascii="Times New Roman" w:hAnsi="Times New Roman" w:cs="Times New Roman"/>
          <w:sz w:val="24"/>
          <w:szCs w:val="24"/>
        </w:rPr>
        <w:t>SoR</w:t>
      </w:r>
      <w:proofErr w:type="spellEnd"/>
      <w:r>
        <w:rPr>
          <w:rFonts w:ascii="Times New Roman" w:hAnsi="Times New Roman" w:cs="Times New Roman"/>
          <w:sz w:val="24"/>
          <w:szCs w:val="24"/>
        </w:rPr>
        <w:t xml:space="preserve"> concluded that an ad which “relates to the speaker</w:t>
      </w:r>
      <w:r w:rsidR="004D19CB">
        <w:rPr>
          <w:rFonts w:ascii="Times New Roman" w:hAnsi="Times New Roman" w:cs="Times New Roman"/>
          <w:sz w:val="24"/>
          <w:szCs w:val="24"/>
        </w:rPr>
        <w:t>’</w:t>
      </w:r>
      <w:r>
        <w:rPr>
          <w:rFonts w:ascii="Times New Roman" w:hAnsi="Times New Roman" w:cs="Times New Roman"/>
          <w:sz w:val="24"/>
          <w:szCs w:val="24"/>
        </w:rPr>
        <w:t>s issue agenda” and includes a “call to action” asking viewers to lobby their representative is not election</w:t>
      </w:r>
      <w:r w:rsidR="00D8391F">
        <w:rPr>
          <w:rFonts w:ascii="Times New Roman" w:hAnsi="Times New Roman" w:cs="Times New Roman"/>
          <w:sz w:val="24"/>
          <w:szCs w:val="24"/>
        </w:rPr>
        <w:t>-</w:t>
      </w:r>
      <w:r>
        <w:rPr>
          <w:rFonts w:ascii="Times New Roman" w:hAnsi="Times New Roman" w:cs="Times New Roman"/>
          <w:sz w:val="24"/>
          <w:szCs w:val="24"/>
        </w:rPr>
        <w:t xml:space="preserve">related.  That test rests on a truncated discussion of an ad </w:t>
      </w:r>
      <w:r w:rsidR="00053F03">
        <w:rPr>
          <w:rFonts w:ascii="Times New Roman" w:hAnsi="Times New Roman" w:cs="Times New Roman"/>
          <w:sz w:val="24"/>
          <w:szCs w:val="24"/>
        </w:rPr>
        <w:t xml:space="preserve">the Supreme Court </w:t>
      </w:r>
      <w:r>
        <w:rPr>
          <w:rFonts w:ascii="Times New Roman" w:hAnsi="Times New Roman" w:cs="Times New Roman"/>
          <w:sz w:val="24"/>
          <w:szCs w:val="24"/>
        </w:rPr>
        <w:t xml:space="preserve">found </w:t>
      </w:r>
      <w:r w:rsidR="001D2EA7">
        <w:rPr>
          <w:rFonts w:ascii="Times New Roman" w:hAnsi="Times New Roman" w:cs="Times New Roman"/>
          <w:sz w:val="24"/>
          <w:szCs w:val="24"/>
        </w:rPr>
        <w:t>to be political.</w:t>
      </w:r>
      <w:r>
        <w:rPr>
          <w:rFonts w:ascii="Times New Roman" w:hAnsi="Times New Roman" w:cs="Times New Roman"/>
          <w:sz w:val="24"/>
          <w:szCs w:val="24"/>
        </w:rPr>
        <w:t xml:space="preserve">  </w:t>
      </w:r>
      <w:r>
        <w:rPr>
          <w:rFonts w:ascii="Times New Roman" w:hAnsi="Times New Roman" w:cs="Times New Roman"/>
          <w:i/>
          <w:sz w:val="24"/>
          <w:szCs w:val="24"/>
        </w:rPr>
        <w:t>See McConnell v. FEC</w:t>
      </w:r>
      <w:r>
        <w:rPr>
          <w:rFonts w:ascii="Times New Roman" w:hAnsi="Times New Roman" w:cs="Times New Roman"/>
          <w:sz w:val="24"/>
          <w:szCs w:val="24"/>
        </w:rPr>
        <w:t xml:space="preserve">, 540 U.S. 93, 193 n.23 (2003) (discussing “Yellowtail” campaign ad which accused </w:t>
      </w:r>
      <w:r w:rsidR="00053F03">
        <w:rPr>
          <w:rFonts w:ascii="Times New Roman" w:hAnsi="Times New Roman" w:cs="Times New Roman"/>
          <w:sz w:val="24"/>
          <w:szCs w:val="24"/>
        </w:rPr>
        <w:t xml:space="preserve">a candidate </w:t>
      </w:r>
      <w:r>
        <w:rPr>
          <w:rFonts w:ascii="Times New Roman" w:hAnsi="Times New Roman" w:cs="Times New Roman"/>
          <w:sz w:val="24"/>
          <w:szCs w:val="24"/>
        </w:rPr>
        <w:t>of hitting his wife, but also “</w:t>
      </w:r>
      <w:proofErr w:type="spellStart"/>
      <w:r>
        <w:rPr>
          <w:rFonts w:ascii="Times New Roman" w:hAnsi="Times New Roman" w:cs="Times New Roman"/>
          <w:sz w:val="24"/>
          <w:szCs w:val="24"/>
        </w:rPr>
        <w:t>vot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against child support enforcement” and asked viewers to call the </w:t>
      </w:r>
      <w:r w:rsidR="00053F03">
        <w:rPr>
          <w:rFonts w:ascii="Times New Roman" w:hAnsi="Times New Roman" w:cs="Times New Roman"/>
          <w:sz w:val="24"/>
          <w:szCs w:val="24"/>
        </w:rPr>
        <w:t xml:space="preserve">candidate </w:t>
      </w:r>
      <w:r>
        <w:rPr>
          <w:rFonts w:ascii="Times New Roman" w:hAnsi="Times New Roman" w:cs="Times New Roman"/>
          <w:sz w:val="24"/>
          <w:szCs w:val="24"/>
        </w:rPr>
        <w:t xml:space="preserve">and “[t]ell him to support family values”).  The </w:t>
      </w:r>
      <w:r w:rsidRPr="00127A28">
        <w:rPr>
          <w:rFonts w:ascii="Times New Roman" w:hAnsi="Times New Roman" w:cs="Times New Roman"/>
          <w:sz w:val="24"/>
          <w:szCs w:val="24"/>
        </w:rPr>
        <w:t xml:space="preserve">Petersen, Hunter, Goodman AAN Remand </w:t>
      </w:r>
      <w:proofErr w:type="spellStart"/>
      <w:r w:rsidRPr="00127A28">
        <w:rPr>
          <w:rFonts w:ascii="Times New Roman" w:hAnsi="Times New Roman" w:cs="Times New Roman"/>
          <w:sz w:val="24"/>
          <w:szCs w:val="24"/>
        </w:rPr>
        <w:t>SoR</w:t>
      </w:r>
      <w:proofErr w:type="spellEnd"/>
      <w:r>
        <w:rPr>
          <w:rFonts w:ascii="Times New Roman" w:hAnsi="Times New Roman" w:cs="Times New Roman"/>
          <w:sz w:val="24"/>
          <w:szCs w:val="24"/>
        </w:rPr>
        <w:t xml:space="preserve"> ignored the fact that the referenced ad included a reference to a vote relating to the speakers’ issue agenda and called on vi</w:t>
      </w:r>
      <w:r w:rsidR="004D7ADF">
        <w:rPr>
          <w:rFonts w:ascii="Times New Roman" w:hAnsi="Times New Roman" w:cs="Times New Roman"/>
          <w:sz w:val="24"/>
          <w:szCs w:val="24"/>
        </w:rPr>
        <w:t xml:space="preserve">ewers to lobby the </w:t>
      </w:r>
      <w:r w:rsidR="00053F03">
        <w:rPr>
          <w:rFonts w:ascii="Times New Roman" w:hAnsi="Times New Roman" w:cs="Times New Roman"/>
          <w:sz w:val="24"/>
          <w:szCs w:val="24"/>
        </w:rPr>
        <w:t>candidate</w:t>
      </w:r>
      <w:r w:rsidR="004D7ADF">
        <w:rPr>
          <w:rFonts w:ascii="Times New Roman" w:hAnsi="Times New Roman" w:cs="Times New Roman"/>
          <w:sz w:val="24"/>
          <w:szCs w:val="24"/>
        </w:rPr>
        <w:t>.</w:t>
      </w:r>
      <w:r>
        <w:rPr>
          <w:rFonts w:ascii="Times New Roman" w:hAnsi="Times New Roman" w:cs="Times New Roman"/>
          <w:sz w:val="24"/>
          <w:szCs w:val="24"/>
        </w:rPr>
        <w:t xml:space="preserve">  Similarly, the </w:t>
      </w:r>
      <w:r w:rsidRPr="00FC42DC">
        <w:rPr>
          <w:rFonts w:ascii="Times New Roman" w:hAnsi="Times New Roman" w:cs="Times New Roman"/>
          <w:sz w:val="24"/>
          <w:szCs w:val="24"/>
        </w:rPr>
        <w:t xml:space="preserve">Petersen, Hunter, Goodman AAN Remand </w:t>
      </w:r>
      <w:proofErr w:type="spellStart"/>
      <w:r w:rsidRPr="00FC42DC">
        <w:rPr>
          <w:rFonts w:ascii="Times New Roman" w:hAnsi="Times New Roman" w:cs="Times New Roman"/>
          <w:sz w:val="24"/>
          <w:szCs w:val="24"/>
        </w:rPr>
        <w:t>SoR</w:t>
      </w:r>
      <w:proofErr w:type="spellEnd"/>
      <w:r>
        <w:rPr>
          <w:rFonts w:ascii="Times New Roman" w:hAnsi="Times New Roman" w:cs="Times New Roman"/>
          <w:sz w:val="24"/>
          <w:szCs w:val="24"/>
        </w:rPr>
        <w:t xml:space="preserve"> ignored other ads found to be political by the Supreme Court in </w:t>
      </w:r>
      <w:r>
        <w:rPr>
          <w:rFonts w:ascii="Times New Roman" w:hAnsi="Times New Roman" w:cs="Times New Roman"/>
          <w:i/>
          <w:sz w:val="24"/>
          <w:szCs w:val="24"/>
        </w:rPr>
        <w:t>McConnell</w:t>
      </w:r>
      <w:r>
        <w:rPr>
          <w:rFonts w:ascii="Times New Roman" w:hAnsi="Times New Roman" w:cs="Times New Roman"/>
          <w:sz w:val="24"/>
          <w:szCs w:val="24"/>
        </w:rPr>
        <w:t xml:space="preserve"> which similarly took policy positions and called on viewers to lobby the representative on them.  Only by ignoring those salient facts could the </w:t>
      </w:r>
      <w:r w:rsidRPr="00127A28">
        <w:rPr>
          <w:rFonts w:ascii="Times New Roman" w:hAnsi="Times New Roman" w:cs="Times New Roman"/>
          <w:sz w:val="24"/>
          <w:szCs w:val="24"/>
        </w:rPr>
        <w:t xml:space="preserve">Petersen, Hunter, Goodman AAN Remand </w:t>
      </w:r>
      <w:proofErr w:type="spellStart"/>
      <w:r w:rsidRPr="00127A28">
        <w:rPr>
          <w:rFonts w:ascii="Times New Roman" w:hAnsi="Times New Roman" w:cs="Times New Roman"/>
          <w:sz w:val="24"/>
          <w:szCs w:val="24"/>
        </w:rPr>
        <w:t>SoR</w:t>
      </w:r>
      <w:proofErr w:type="spellEnd"/>
      <w:r>
        <w:rPr>
          <w:rFonts w:ascii="Times New Roman" w:hAnsi="Times New Roman" w:cs="Times New Roman"/>
          <w:sz w:val="24"/>
          <w:szCs w:val="24"/>
        </w:rPr>
        <w:t xml:space="preserve"> conclude that those factors could render an ad nonpolitical.  </w:t>
      </w:r>
    </w:p>
    <w:p w14:paraId="42515EDC" w14:textId="0EED9886" w:rsidR="00605429" w:rsidRDefault="00E829ED" w:rsidP="00141E9D">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t xml:space="preserve">Further, the </w:t>
      </w:r>
      <w:r w:rsidRPr="00127A28">
        <w:rPr>
          <w:rFonts w:ascii="Times New Roman" w:hAnsi="Times New Roman" w:cs="Times New Roman"/>
          <w:sz w:val="24"/>
          <w:szCs w:val="24"/>
        </w:rPr>
        <w:t xml:space="preserve">Petersen, Hunter, Goodman AAN Remand </w:t>
      </w:r>
      <w:proofErr w:type="spellStart"/>
      <w:r w:rsidRPr="00127A28">
        <w:rPr>
          <w:rFonts w:ascii="Times New Roman" w:hAnsi="Times New Roman" w:cs="Times New Roman"/>
          <w:sz w:val="24"/>
          <w:szCs w:val="24"/>
        </w:rPr>
        <w:t>SoR</w:t>
      </w:r>
      <w:proofErr w:type="spellEnd"/>
      <w:r>
        <w:rPr>
          <w:rFonts w:ascii="Times New Roman" w:hAnsi="Times New Roman" w:cs="Times New Roman"/>
          <w:sz w:val="24"/>
          <w:szCs w:val="24"/>
        </w:rPr>
        <w:t xml:space="preserve"> erroneously interpreted Judge Cooper’s September 19 Order to prohibit the conclusion that all of AAN’s electioneering communications were political, but Judge Cooper made no such pronouncement.  </w:t>
      </w:r>
      <w:r w:rsidR="0061453F">
        <w:rPr>
          <w:rFonts w:ascii="Times New Roman" w:hAnsi="Times New Roman" w:cs="Times New Roman"/>
          <w:sz w:val="24"/>
          <w:szCs w:val="24"/>
        </w:rPr>
        <w:t xml:space="preserve">The controlling commissioners’ continued refusal to consider electioneering communications as indicative of a group’s purpose to nominate or elect federal candidates is based on an impermissible interpretation of </w:t>
      </w:r>
      <w:r w:rsidR="0061453F">
        <w:rPr>
          <w:rFonts w:ascii="Times New Roman" w:hAnsi="Times New Roman" w:cs="Times New Roman"/>
          <w:i/>
          <w:sz w:val="24"/>
          <w:szCs w:val="24"/>
        </w:rPr>
        <w:t>Buckley</w:t>
      </w:r>
      <w:r w:rsidR="0061453F">
        <w:rPr>
          <w:rFonts w:ascii="Times New Roman" w:hAnsi="Times New Roman" w:cs="Times New Roman"/>
          <w:sz w:val="24"/>
          <w:szCs w:val="24"/>
        </w:rPr>
        <w:t xml:space="preserve"> and Judge Cooper’s judgment.  </w:t>
      </w:r>
    </w:p>
    <w:p w14:paraId="01468DC0" w14:textId="166D72FA" w:rsidR="00385EC6" w:rsidRPr="00585B3B" w:rsidRDefault="00605429" w:rsidP="00141E9D">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605429">
        <w:rPr>
          <w:rFonts w:ascii="Times New Roman" w:eastAsia="Times New Roman" w:hAnsi="Times New Roman" w:cs="Times New Roman"/>
          <w:sz w:val="24"/>
          <w:szCs w:val="24"/>
        </w:rPr>
        <w:t xml:space="preserve">The Petersen, Hunter, Goodman AAN Remand </w:t>
      </w:r>
      <w:proofErr w:type="spellStart"/>
      <w:r w:rsidRPr="00605429">
        <w:rPr>
          <w:rFonts w:ascii="Times New Roman" w:eastAsia="Times New Roman" w:hAnsi="Times New Roman" w:cs="Times New Roman"/>
          <w:sz w:val="24"/>
          <w:szCs w:val="24"/>
        </w:rPr>
        <w:t>SoR</w:t>
      </w:r>
      <w:proofErr w:type="spellEnd"/>
      <w:r w:rsidR="00C15B27" w:rsidRPr="00605429">
        <w:rPr>
          <w:rFonts w:ascii="Times New Roman" w:hAnsi="Times New Roman" w:cs="Times New Roman"/>
          <w:sz w:val="24"/>
          <w:szCs w:val="24"/>
        </w:rPr>
        <w:t xml:space="preserve"> </w:t>
      </w:r>
      <w:r>
        <w:rPr>
          <w:rFonts w:ascii="Times New Roman" w:hAnsi="Times New Roman" w:cs="Times New Roman"/>
          <w:sz w:val="24"/>
          <w:szCs w:val="24"/>
        </w:rPr>
        <w:t>is further arbitrary and capricious by unreasonably limiting the context that coul</w:t>
      </w:r>
      <w:r w:rsidR="0061453F">
        <w:rPr>
          <w:rFonts w:ascii="Times New Roman" w:hAnsi="Times New Roman" w:cs="Times New Roman"/>
          <w:sz w:val="24"/>
          <w:szCs w:val="24"/>
        </w:rPr>
        <w:t xml:space="preserve">d be admitted for consideration, </w:t>
      </w:r>
      <w:r w:rsidR="0061453F">
        <w:rPr>
          <w:rFonts w:ascii="Times New Roman" w:hAnsi="Times New Roman" w:cs="Times New Roman"/>
          <w:sz w:val="24"/>
          <w:szCs w:val="24"/>
        </w:rPr>
        <w:lastRenderedPageBreak/>
        <w:t>ignor</w:t>
      </w:r>
      <w:r w:rsidR="00053F03">
        <w:rPr>
          <w:rFonts w:ascii="Times New Roman" w:hAnsi="Times New Roman" w:cs="Times New Roman"/>
          <w:sz w:val="24"/>
          <w:szCs w:val="24"/>
        </w:rPr>
        <w:t>ing</w:t>
      </w:r>
      <w:r w:rsidR="0061453F">
        <w:rPr>
          <w:rFonts w:ascii="Times New Roman" w:hAnsi="Times New Roman" w:cs="Times New Roman"/>
          <w:sz w:val="24"/>
          <w:szCs w:val="24"/>
        </w:rPr>
        <w:t xml:space="preserve"> relevant evidence instructive as to the advertisement’s purposes, and </w:t>
      </w:r>
      <w:r w:rsidR="00053F03">
        <w:rPr>
          <w:rFonts w:ascii="Times New Roman" w:hAnsi="Times New Roman" w:cs="Times New Roman"/>
          <w:sz w:val="24"/>
          <w:szCs w:val="24"/>
        </w:rPr>
        <w:t xml:space="preserve">drawing  </w:t>
      </w:r>
      <w:r>
        <w:rPr>
          <w:rFonts w:ascii="Times New Roman" w:hAnsi="Times New Roman" w:cs="Times New Roman"/>
          <w:sz w:val="24"/>
          <w:szCs w:val="24"/>
        </w:rPr>
        <w:t xml:space="preserve">unsupported conclusions about what </w:t>
      </w:r>
      <w:r w:rsidR="004D7ADF">
        <w:rPr>
          <w:rFonts w:ascii="Times New Roman" w:hAnsi="Times New Roman" w:cs="Times New Roman"/>
          <w:sz w:val="24"/>
          <w:szCs w:val="24"/>
        </w:rPr>
        <w:t>legislation</w:t>
      </w:r>
      <w:r>
        <w:rPr>
          <w:rFonts w:ascii="Times New Roman" w:hAnsi="Times New Roman" w:cs="Times New Roman"/>
          <w:sz w:val="24"/>
          <w:szCs w:val="24"/>
        </w:rPr>
        <w:t xml:space="preserve"> co</w:t>
      </w:r>
      <w:r w:rsidR="0061453F">
        <w:rPr>
          <w:rFonts w:ascii="Times New Roman" w:hAnsi="Times New Roman" w:cs="Times New Roman"/>
          <w:sz w:val="24"/>
          <w:szCs w:val="24"/>
        </w:rPr>
        <w:t>uld or would be before Congress</w:t>
      </w:r>
      <w:r>
        <w:rPr>
          <w:rFonts w:ascii="Times New Roman" w:hAnsi="Times New Roman" w:cs="Times New Roman"/>
          <w:sz w:val="24"/>
          <w:szCs w:val="24"/>
        </w:rPr>
        <w:t>.</w:t>
      </w:r>
      <w:r w:rsidR="0061453F">
        <w:rPr>
          <w:rFonts w:ascii="Times New Roman" w:hAnsi="Times New Roman" w:cs="Times New Roman"/>
          <w:sz w:val="24"/>
          <w:szCs w:val="24"/>
        </w:rPr>
        <w:t xml:space="preserve">  The</w:t>
      </w:r>
      <w:r w:rsidR="0061453F" w:rsidRPr="0061453F">
        <w:rPr>
          <w:rFonts w:ascii="Times New Roman" w:eastAsia="Times New Roman" w:hAnsi="Times New Roman" w:cs="Times New Roman"/>
          <w:sz w:val="24"/>
          <w:szCs w:val="24"/>
        </w:rPr>
        <w:t xml:space="preserve"> </w:t>
      </w:r>
      <w:r w:rsidR="0061453F" w:rsidRPr="00605429">
        <w:rPr>
          <w:rFonts w:ascii="Times New Roman" w:eastAsia="Times New Roman" w:hAnsi="Times New Roman" w:cs="Times New Roman"/>
          <w:sz w:val="24"/>
          <w:szCs w:val="24"/>
        </w:rPr>
        <w:t xml:space="preserve">Petersen, Hunter, Goodman AAN Remand </w:t>
      </w:r>
      <w:proofErr w:type="spellStart"/>
      <w:r w:rsidR="0061453F" w:rsidRPr="00605429">
        <w:rPr>
          <w:rFonts w:ascii="Times New Roman" w:eastAsia="Times New Roman" w:hAnsi="Times New Roman" w:cs="Times New Roman"/>
          <w:sz w:val="24"/>
          <w:szCs w:val="24"/>
        </w:rPr>
        <w:t>SoR</w:t>
      </w:r>
      <w:proofErr w:type="spellEnd"/>
      <w:r w:rsidR="0061453F">
        <w:rPr>
          <w:rFonts w:ascii="Times New Roman" w:eastAsia="Times New Roman" w:hAnsi="Times New Roman" w:cs="Times New Roman"/>
          <w:sz w:val="24"/>
          <w:szCs w:val="24"/>
        </w:rPr>
        <w:t xml:space="preserve"> further arbitrarily and capriciously failed to consider one of AAN’s electioneering communications run against Rep. </w:t>
      </w:r>
      <w:proofErr w:type="spellStart"/>
      <w:r w:rsidR="0061453F">
        <w:rPr>
          <w:rFonts w:ascii="Times New Roman" w:eastAsia="Times New Roman" w:hAnsi="Times New Roman" w:cs="Times New Roman"/>
          <w:sz w:val="24"/>
          <w:szCs w:val="24"/>
        </w:rPr>
        <w:t>Perlmutter</w:t>
      </w:r>
      <w:proofErr w:type="spellEnd"/>
      <w:r w:rsidR="0061453F">
        <w:rPr>
          <w:rFonts w:ascii="Times New Roman" w:eastAsia="Times New Roman" w:hAnsi="Times New Roman" w:cs="Times New Roman"/>
          <w:sz w:val="24"/>
          <w:szCs w:val="24"/>
        </w:rPr>
        <w:t xml:space="preserve"> and further failed to consider the additional </w:t>
      </w:r>
      <w:r w:rsidR="0061453F" w:rsidRPr="0061453F">
        <w:rPr>
          <w:rFonts w:ascii="Times New Roman" w:eastAsia="Times New Roman" w:hAnsi="Times New Roman" w:cs="Times New Roman"/>
          <w:sz w:val="24"/>
          <w:szCs w:val="24"/>
        </w:rPr>
        <w:t>$</w:t>
      </w:r>
      <w:r w:rsidR="00510216">
        <w:rPr>
          <w:rFonts w:ascii="Times New Roman" w:eastAsia="Times New Roman" w:hAnsi="Times New Roman" w:cs="Times New Roman"/>
          <w:sz w:val="24"/>
          <w:szCs w:val="24"/>
        </w:rPr>
        <w:t>1,12</w:t>
      </w:r>
      <w:r w:rsidR="001D5FB4">
        <w:rPr>
          <w:rFonts w:ascii="Times New Roman" w:eastAsia="Times New Roman" w:hAnsi="Times New Roman" w:cs="Times New Roman"/>
          <w:sz w:val="24"/>
          <w:szCs w:val="24"/>
        </w:rPr>
        <w:t>4</w:t>
      </w:r>
      <w:r w:rsidR="00510216">
        <w:rPr>
          <w:rFonts w:ascii="Times New Roman" w:eastAsia="Times New Roman" w:hAnsi="Times New Roman" w:cs="Times New Roman"/>
          <w:sz w:val="24"/>
          <w:szCs w:val="24"/>
        </w:rPr>
        <w:t>,15</w:t>
      </w:r>
      <w:r w:rsidR="001D5FB4">
        <w:rPr>
          <w:rFonts w:ascii="Times New Roman" w:eastAsia="Times New Roman" w:hAnsi="Times New Roman" w:cs="Times New Roman"/>
          <w:sz w:val="24"/>
          <w:szCs w:val="24"/>
        </w:rPr>
        <w:t>2</w:t>
      </w:r>
      <w:r w:rsidR="0061453F">
        <w:rPr>
          <w:rFonts w:ascii="Times New Roman" w:eastAsia="Times New Roman" w:hAnsi="Times New Roman" w:cs="Times New Roman"/>
          <w:sz w:val="24"/>
          <w:szCs w:val="24"/>
        </w:rPr>
        <w:t xml:space="preserve"> AAN reported in political activity on its </w:t>
      </w:r>
      <w:r w:rsidR="00053F03">
        <w:rPr>
          <w:rFonts w:ascii="Times New Roman" w:eastAsia="Times New Roman" w:hAnsi="Times New Roman" w:cs="Times New Roman"/>
          <w:sz w:val="24"/>
          <w:szCs w:val="24"/>
        </w:rPr>
        <w:t>tax returns</w:t>
      </w:r>
      <w:r w:rsidR="0061453F">
        <w:rPr>
          <w:rFonts w:ascii="Times New Roman" w:eastAsia="Times New Roman" w:hAnsi="Times New Roman" w:cs="Times New Roman"/>
          <w:sz w:val="24"/>
          <w:szCs w:val="24"/>
        </w:rPr>
        <w:t xml:space="preserve"> </w:t>
      </w:r>
      <w:r w:rsidR="00510216">
        <w:rPr>
          <w:rFonts w:ascii="Times New Roman" w:eastAsia="Times New Roman" w:hAnsi="Times New Roman" w:cs="Times New Roman"/>
          <w:sz w:val="24"/>
          <w:szCs w:val="24"/>
        </w:rPr>
        <w:t>above and beyond the sums AAN reported spending on express advocacy, but which AAN maintains cannot be attributed to its electioneering communications.</w:t>
      </w:r>
      <w:r w:rsidR="0061453F">
        <w:rPr>
          <w:rFonts w:ascii="Times New Roman" w:eastAsia="Times New Roman" w:hAnsi="Times New Roman" w:cs="Times New Roman"/>
          <w:sz w:val="24"/>
          <w:szCs w:val="24"/>
        </w:rPr>
        <w:t xml:space="preserve">.  </w:t>
      </w:r>
    </w:p>
    <w:p w14:paraId="0A8C94F2" w14:textId="290CD05E" w:rsidR="00585B3B" w:rsidRPr="00F72CDF" w:rsidRDefault="00585B3B" w:rsidP="00141E9D">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585B3B">
        <w:rPr>
          <w:rFonts w:ascii="Times New Roman" w:hAnsi="Times New Roman" w:cs="Times New Roman"/>
          <w:sz w:val="24"/>
          <w:szCs w:val="24"/>
        </w:rPr>
        <w:t>Plaintiffs are therefore entitled to relief in the form of a declaratory order that defendant FEC is in violation of its statutory responsibilities under 52 U.S.C. § 30109(a)(8) and has acted arbitrary or capriciously, abused its discretion, or acted contrary to law in dismissing</w:t>
      </w:r>
      <w:r>
        <w:rPr>
          <w:rFonts w:ascii="Times New Roman" w:hAnsi="Times New Roman" w:cs="Times New Roman"/>
          <w:sz w:val="24"/>
          <w:szCs w:val="24"/>
        </w:rPr>
        <w:t xml:space="preserve"> on remand</w:t>
      </w:r>
      <w:r w:rsidRPr="00585B3B">
        <w:rPr>
          <w:rFonts w:ascii="Times New Roman" w:hAnsi="Times New Roman" w:cs="Times New Roman"/>
          <w:sz w:val="24"/>
          <w:szCs w:val="24"/>
        </w:rPr>
        <w:t xml:space="preserve"> </w:t>
      </w:r>
      <w:r>
        <w:rPr>
          <w:rFonts w:ascii="Times New Roman" w:hAnsi="Times New Roman" w:cs="Times New Roman"/>
          <w:sz w:val="24"/>
          <w:szCs w:val="24"/>
        </w:rPr>
        <w:t xml:space="preserve">Plaintiffs’ complaint against AAN.  Plaintiffs are further entitled to relief in the form of a declaratory order that the failure of the Commission to act in conformity with the Court’s September 19, 2016 </w:t>
      </w:r>
      <w:r w:rsidR="002F4F16">
        <w:rPr>
          <w:rFonts w:ascii="Times New Roman" w:hAnsi="Times New Roman" w:cs="Times New Roman"/>
          <w:sz w:val="24"/>
          <w:szCs w:val="24"/>
        </w:rPr>
        <w:t>O</w:t>
      </w:r>
      <w:r>
        <w:rPr>
          <w:rFonts w:ascii="Times New Roman" w:hAnsi="Times New Roman" w:cs="Times New Roman"/>
          <w:sz w:val="24"/>
          <w:szCs w:val="24"/>
        </w:rPr>
        <w:t xml:space="preserve">rder has given rise to Plaintiffs’ cause of action against AAN </w:t>
      </w:r>
      <w:r w:rsidR="00F72CDF">
        <w:rPr>
          <w:rFonts w:ascii="Times New Roman" w:hAnsi="Times New Roman" w:cs="Times New Roman"/>
          <w:sz w:val="24"/>
          <w:szCs w:val="24"/>
        </w:rPr>
        <w:t xml:space="preserve">under 52 U.S.C. § 30109(a)(8)(C) </w:t>
      </w:r>
      <w:r>
        <w:rPr>
          <w:rFonts w:ascii="Times New Roman" w:hAnsi="Times New Roman" w:cs="Times New Roman"/>
          <w:sz w:val="24"/>
          <w:szCs w:val="24"/>
        </w:rPr>
        <w:t>and Plaintiffs are therefore entitled to pursue a civil remedy against AAN directly.</w:t>
      </w:r>
    </w:p>
    <w:p w14:paraId="546F6E4F" w14:textId="606688AA" w:rsidR="00F72CDF" w:rsidRDefault="00F72CDF" w:rsidP="00F72CDF">
      <w:pPr>
        <w:pStyle w:val="NoSpacing"/>
        <w:keepNext/>
        <w:keepLines/>
        <w:jc w:val="center"/>
        <w:rPr>
          <w:rFonts w:ascii="Times New Roman" w:eastAsia="Times New Roman" w:hAnsi="Times New Roman" w:cs="Times New Roman"/>
          <w:b/>
          <w:bCs/>
          <w:sz w:val="24"/>
          <w:szCs w:val="24"/>
        </w:rPr>
      </w:pPr>
      <w:r w:rsidRPr="00493F9C">
        <w:rPr>
          <w:rFonts w:ascii="Times New Roman" w:hAnsi="Times New Roman" w:cs="Times New Roman"/>
          <w:b/>
          <w:bCs/>
          <w:sz w:val="24"/>
          <w:szCs w:val="24"/>
        </w:rPr>
        <w:t xml:space="preserve">CLAIM </w:t>
      </w:r>
      <w:r>
        <w:rPr>
          <w:rFonts w:ascii="Times New Roman" w:hAnsi="Times New Roman" w:cs="Times New Roman"/>
          <w:b/>
          <w:bCs/>
          <w:sz w:val="24"/>
          <w:szCs w:val="24"/>
        </w:rPr>
        <w:t>TWO</w:t>
      </w:r>
    </w:p>
    <w:p w14:paraId="5895C7BC" w14:textId="5F3F1840" w:rsidR="00F72CDF" w:rsidRPr="00F72CDF" w:rsidRDefault="00F72CDF" w:rsidP="00F72CDF">
      <w:pPr>
        <w:pStyle w:val="NoSpacing"/>
        <w:keepNext/>
        <w:keepLine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FEC’s Constructive Dismissal of the AJS Matter on Remand </w:t>
      </w:r>
      <w:r w:rsidR="00D8391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br/>
        <w:t>Arbitrary, Capricious, an Abuse of Discretion, and Contrary to Law</w:t>
      </w:r>
      <w:r>
        <w:rPr>
          <w:rFonts w:ascii="Times New Roman" w:eastAsia="Times New Roman" w:hAnsi="Times New Roman" w:cs="Times New Roman"/>
          <w:b/>
          <w:bCs/>
          <w:sz w:val="24"/>
          <w:szCs w:val="24"/>
        </w:rPr>
        <w:br/>
      </w:r>
    </w:p>
    <w:p w14:paraId="39718E5E" w14:textId="3DDB2923" w:rsidR="00F72CDF" w:rsidRDefault="00F72CDF" w:rsidP="00141E9D">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F72CDF">
        <w:rPr>
          <w:rFonts w:ascii="Times New Roman" w:eastAsia="Times New Roman" w:hAnsi="Times New Roman" w:cs="Times New Roman"/>
          <w:sz w:val="24"/>
          <w:szCs w:val="24"/>
        </w:rPr>
        <w:t>Plaintiffs re-allege and incorporate by reference all preceding paragraphs as fully set forth herein</w:t>
      </w:r>
      <w:r>
        <w:rPr>
          <w:rFonts w:ascii="Times New Roman" w:eastAsia="Times New Roman" w:hAnsi="Times New Roman" w:cs="Times New Roman"/>
          <w:sz w:val="24"/>
          <w:szCs w:val="24"/>
        </w:rPr>
        <w:t>.</w:t>
      </w:r>
    </w:p>
    <w:p w14:paraId="5D41BC21" w14:textId="136BF5D0" w:rsidR="00F72CDF" w:rsidRDefault="00AA066B" w:rsidP="00141E9D">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6E6B11">
        <w:rPr>
          <w:rFonts w:ascii="Times New Roman" w:eastAsia="Times New Roman" w:hAnsi="Times New Roman" w:cs="Times New Roman"/>
          <w:sz w:val="24"/>
          <w:szCs w:val="24"/>
        </w:rPr>
        <w:t>failing</w:t>
      </w:r>
      <w:r>
        <w:rPr>
          <w:rFonts w:ascii="Times New Roman" w:eastAsia="Times New Roman" w:hAnsi="Times New Roman" w:cs="Times New Roman"/>
          <w:sz w:val="24"/>
          <w:szCs w:val="24"/>
        </w:rPr>
        <w:t xml:space="preserve"> to act</w:t>
      </w:r>
      <w:r w:rsidRPr="00AA066B">
        <w:rPr>
          <w:rFonts w:ascii="Times New Roman" w:eastAsia="Times New Roman" w:hAnsi="Times New Roman" w:cs="Times New Roman"/>
          <w:sz w:val="24"/>
          <w:szCs w:val="24"/>
        </w:rPr>
        <w:t xml:space="preserve"> on remand of the Plaintiffs’ administrative complaint against </w:t>
      </w:r>
      <w:r>
        <w:rPr>
          <w:rFonts w:ascii="Times New Roman" w:eastAsia="Times New Roman" w:hAnsi="Times New Roman" w:cs="Times New Roman"/>
          <w:sz w:val="24"/>
          <w:szCs w:val="24"/>
        </w:rPr>
        <w:t>AJS within the timeframe ordered by Judge Cooper in his September 19, 2016 Order, the FEC has constructively dismissed Plaintiffs’ administrative complaint against AJS.  The FEC’s constructive dismissal of Plaintiffs’ complaint</w:t>
      </w:r>
      <w:r w:rsidRPr="00AA066B">
        <w:rPr>
          <w:rFonts w:ascii="Times New Roman" w:eastAsia="Times New Roman" w:hAnsi="Times New Roman" w:cs="Times New Roman"/>
          <w:sz w:val="24"/>
          <w:szCs w:val="24"/>
        </w:rPr>
        <w:t xml:space="preserve"> was arbitrary, capricious, an abuse of discretion, </w:t>
      </w:r>
      <w:r w:rsidRPr="00AA066B">
        <w:rPr>
          <w:rFonts w:ascii="Times New Roman" w:eastAsia="Times New Roman" w:hAnsi="Times New Roman" w:cs="Times New Roman"/>
          <w:sz w:val="24"/>
          <w:szCs w:val="24"/>
        </w:rPr>
        <w:lastRenderedPageBreak/>
        <w:t xml:space="preserve">and contrary to law in violation of 52 U.S.C. § 30109(a)(8)(C) because it was not in conformity with Judge Cooper’s September 19 Order </w:t>
      </w:r>
      <w:r w:rsidR="00967489">
        <w:rPr>
          <w:rFonts w:ascii="Times New Roman" w:eastAsia="Times New Roman" w:hAnsi="Times New Roman" w:cs="Times New Roman"/>
          <w:sz w:val="24"/>
          <w:szCs w:val="24"/>
        </w:rPr>
        <w:t>and would necessarily</w:t>
      </w:r>
      <w:r w:rsidRPr="00AA066B">
        <w:rPr>
          <w:rFonts w:ascii="Times New Roman" w:eastAsia="Times New Roman" w:hAnsi="Times New Roman" w:cs="Times New Roman"/>
          <w:sz w:val="24"/>
          <w:szCs w:val="24"/>
        </w:rPr>
        <w:t xml:space="preserve"> rest on impermissible interpretations of law and arbitrary and capricious analyses.</w:t>
      </w:r>
    </w:p>
    <w:p w14:paraId="048BE3E9" w14:textId="234F8228" w:rsidR="00967489" w:rsidRDefault="00967489" w:rsidP="00E8101E">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FEC’s failure to explain the constructive dismissal of Plaintiffs’ complaint against AJS </w:t>
      </w:r>
      <w:r w:rsidR="001D5FB4">
        <w:rPr>
          <w:rFonts w:ascii="Times New Roman" w:eastAsia="Times New Roman" w:hAnsi="Times New Roman" w:cs="Times New Roman"/>
          <w:sz w:val="24"/>
          <w:szCs w:val="24"/>
        </w:rPr>
        <w:t xml:space="preserve">renders the dismissal arbitrary, </w:t>
      </w:r>
      <w:r>
        <w:rPr>
          <w:rFonts w:ascii="Times New Roman" w:eastAsia="Times New Roman" w:hAnsi="Times New Roman" w:cs="Times New Roman"/>
          <w:sz w:val="24"/>
          <w:szCs w:val="24"/>
        </w:rPr>
        <w:t>capricious</w:t>
      </w:r>
      <w:r w:rsidR="001D5FB4">
        <w:rPr>
          <w:rFonts w:ascii="Times New Roman" w:eastAsia="Times New Roman" w:hAnsi="Times New Roman" w:cs="Times New Roman"/>
          <w:sz w:val="24"/>
          <w:szCs w:val="24"/>
        </w:rPr>
        <w:t>, and abuse of discretion, and contrary to law</w:t>
      </w:r>
      <w:r>
        <w:rPr>
          <w:rFonts w:ascii="Times New Roman" w:eastAsia="Times New Roman" w:hAnsi="Times New Roman" w:cs="Times New Roman"/>
          <w:sz w:val="24"/>
          <w:szCs w:val="24"/>
        </w:rPr>
        <w:t xml:space="preserve">. </w:t>
      </w:r>
    </w:p>
    <w:p w14:paraId="71251DEC" w14:textId="2FC1D7DF" w:rsidR="008114DC" w:rsidRPr="00E8101E" w:rsidRDefault="00967489" w:rsidP="00E8101E">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any justification offered would necessarily rest on impermissible interpretations of law and arbitrary and capricious analyses. A</w:t>
      </w:r>
      <w:r w:rsidR="006E6B11">
        <w:rPr>
          <w:rFonts w:ascii="Times New Roman" w:eastAsia="Times New Roman" w:hAnsi="Times New Roman" w:cs="Times New Roman"/>
          <w:sz w:val="24"/>
          <w:szCs w:val="24"/>
        </w:rPr>
        <w:t xml:space="preserve">s the </w:t>
      </w:r>
      <w:r w:rsidR="006E6B11" w:rsidRPr="006E6B11">
        <w:rPr>
          <w:rFonts w:ascii="Times New Roman" w:eastAsia="Times New Roman" w:hAnsi="Times New Roman" w:cs="Times New Roman"/>
          <w:sz w:val="24"/>
          <w:szCs w:val="24"/>
        </w:rPr>
        <w:t xml:space="preserve">Goodman, Hunter, Petersen AJS </w:t>
      </w:r>
      <w:proofErr w:type="spellStart"/>
      <w:r w:rsidR="006E6B11" w:rsidRPr="006E6B11">
        <w:rPr>
          <w:rFonts w:ascii="Times New Roman" w:eastAsia="Times New Roman" w:hAnsi="Times New Roman" w:cs="Times New Roman"/>
          <w:sz w:val="24"/>
          <w:szCs w:val="24"/>
        </w:rPr>
        <w:t>SoR</w:t>
      </w:r>
      <w:proofErr w:type="spellEnd"/>
      <w:r w:rsidR="006E6B11">
        <w:rPr>
          <w:rFonts w:ascii="Times New Roman" w:eastAsia="Times New Roman" w:hAnsi="Times New Roman" w:cs="Times New Roman"/>
          <w:sz w:val="24"/>
          <w:szCs w:val="24"/>
        </w:rPr>
        <w:t xml:space="preserve"> recognized, AJS’s express advocacy alone constituted about 40% of AJS’s spending in 2010.  Accordingly, the only way the controlling commissioners could conclude that AJS’s spending in 2010 was not sufficiently extensive </w:t>
      </w:r>
      <w:r w:rsidR="004D7ADF">
        <w:rPr>
          <w:rFonts w:ascii="Times New Roman" w:eastAsia="Times New Roman" w:hAnsi="Times New Roman" w:cs="Times New Roman"/>
          <w:sz w:val="24"/>
          <w:szCs w:val="24"/>
        </w:rPr>
        <w:t xml:space="preserve">to conclude AJS’s major purpose that year was to nominate or elect candidates </w:t>
      </w:r>
      <w:r w:rsidR="006E6B11">
        <w:rPr>
          <w:rFonts w:ascii="Times New Roman" w:eastAsia="Times New Roman" w:hAnsi="Times New Roman" w:cs="Times New Roman"/>
          <w:sz w:val="24"/>
          <w:szCs w:val="24"/>
        </w:rPr>
        <w:t xml:space="preserve">would be to </w:t>
      </w:r>
      <w:r w:rsidR="00510216">
        <w:rPr>
          <w:rFonts w:ascii="Times New Roman" w:eastAsia="Times New Roman" w:hAnsi="Times New Roman" w:cs="Times New Roman"/>
          <w:sz w:val="24"/>
          <w:szCs w:val="24"/>
        </w:rPr>
        <w:t>on</w:t>
      </w:r>
      <w:r w:rsidR="00F53056">
        <w:rPr>
          <w:rFonts w:ascii="Times New Roman" w:eastAsia="Times New Roman" w:hAnsi="Times New Roman" w:cs="Times New Roman"/>
          <w:sz w:val="24"/>
          <w:szCs w:val="24"/>
        </w:rPr>
        <w:t>c</w:t>
      </w:r>
      <w:r w:rsidR="00510216">
        <w:rPr>
          <w:rFonts w:ascii="Times New Roman" w:eastAsia="Times New Roman" w:hAnsi="Times New Roman" w:cs="Times New Roman"/>
          <w:sz w:val="24"/>
          <w:szCs w:val="24"/>
        </w:rPr>
        <w:t xml:space="preserve">e again treat all or nearly all of </w:t>
      </w:r>
      <w:r w:rsidR="006E6B11">
        <w:rPr>
          <w:rFonts w:ascii="Times New Roman" w:eastAsia="Times New Roman" w:hAnsi="Times New Roman" w:cs="Times New Roman"/>
          <w:sz w:val="24"/>
          <w:szCs w:val="24"/>
        </w:rPr>
        <w:t>AJS’s electioneering communications</w:t>
      </w:r>
      <w:r w:rsidR="00510216">
        <w:rPr>
          <w:rFonts w:ascii="Times New Roman" w:eastAsia="Times New Roman" w:hAnsi="Times New Roman" w:cs="Times New Roman"/>
          <w:sz w:val="24"/>
          <w:szCs w:val="24"/>
        </w:rPr>
        <w:t xml:space="preserve"> as nonpolitical</w:t>
      </w:r>
      <w:r w:rsidR="006E6B11">
        <w:rPr>
          <w:rFonts w:ascii="Times New Roman" w:eastAsia="Times New Roman" w:hAnsi="Times New Roman" w:cs="Times New Roman"/>
          <w:sz w:val="24"/>
          <w:szCs w:val="24"/>
        </w:rPr>
        <w:t xml:space="preserve"> </w:t>
      </w:r>
      <w:r w:rsidR="002A6103">
        <w:rPr>
          <w:rFonts w:ascii="Times New Roman" w:eastAsia="Times New Roman" w:hAnsi="Times New Roman" w:cs="Times New Roman"/>
          <w:sz w:val="24"/>
          <w:szCs w:val="24"/>
        </w:rPr>
        <w:t>or to provide unreasonable weight to AJS’s historical activities</w:t>
      </w:r>
      <w:r w:rsidR="006E6B11">
        <w:rPr>
          <w:rFonts w:ascii="Times New Roman" w:eastAsia="Times New Roman" w:hAnsi="Times New Roman" w:cs="Times New Roman"/>
          <w:sz w:val="24"/>
          <w:szCs w:val="24"/>
        </w:rPr>
        <w:t>, in violation of Judge Cooper’s September 19, 2016 Order and contrary to law</w:t>
      </w:r>
      <w:r w:rsidR="002A6103">
        <w:rPr>
          <w:rFonts w:ascii="Times New Roman" w:eastAsia="Times New Roman" w:hAnsi="Times New Roman" w:cs="Times New Roman"/>
          <w:sz w:val="24"/>
          <w:szCs w:val="24"/>
        </w:rPr>
        <w:t>.</w:t>
      </w:r>
    </w:p>
    <w:p w14:paraId="17252510" w14:textId="4F6167EA" w:rsidR="007C3C6B" w:rsidRDefault="007C3C6B" w:rsidP="00141E9D">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controlling commissioners</w:t>
      </w:r>
      <w:r w:rsidR="00F530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failure to treat any of AJS’s electioneering communications as </w:t>
      </w:r>
      <w:r w:rsidR="009C2B9C">
        <w:rPr>
          <w:rFonts w:ascii="Times New Roman" w:eastAsia="Times New Roman" w:hAnsi="Times New Roman" w:cs="Times New Roman"/>
          <w:sz w:val="24"/>
          <w:szCs w:val="24"/>
        </w:rPr>
        <w:t xml:space="preserve">demonstrating </w:t>
      </w:r>
      <w:r>
        <w:rPr>
          <w:rFonts w:ascii="Times New Roman" w:eastAsia="Times New Roman" w:hAnsi="Times New Roman" w:cs="Times New Roman"/>
          <w:sz w:val="24"/>
          <w:szCs w:val="24"/>
        </w:rPr>
        <w:t xml:space="preserve">a major purpose to nominate or elect candidates was arbitrary, capricious, an abuse of discretion, and contrary to law. </w:t>
      </w:r>
    </w:p>
    <w:p w14:paraId="2B85B48B" w14:textId="22ADBA4A" w:rsidR="00111BC1" w:rsidRDefault="00D2288F" w:rsidP="00141E9D">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controlling commissioners could only ignore AJS’s extensive campaign spending in 2010 by </w:t>
      </w:r>
      <w:r w:rsidR="00510216">
        <w:rPr>
          <w:rFonts w:ascii="Times New Roman" w:eastAsia="Times New Roman" w:hAnsi="Times New Roman" w:cs="Times New Roman"/>
          <w:sz w:val="24"/>
          <w:szCs w:val="24"/>
        </w:rPr>
        <w:t xml:space="preserve">equally </w:t>
      </w:r>
      <w:r>
        <w:rPr>
          <w:rFonts w:ascii="Times New Roman" w:eastAsia="Times New Roman" w:hAnsi="Times New Roman" w:cs="Times New Roman"/>
          <w:sz w:val="24"/>
          <w:szCs w:val="24"/>
        </w:rPr>
        <w:t>weighting AJS</w:t>
      </w:r>
      <w:r w:rsidR="00510216">
        <w:rPr>
          <w:rFonts w:ascii="Times New Roman" w:eastAsia="Times New Roman" w:hAnsi="Times New Roman" w:cs="Times New Roman"/>
          <w:sz w:val="24"/>
          <w:szCs w:val="24"/>
        </w:rPr>
        <w:t>’s current campaign activity with it</w:t>
      </w:r>
      <w:r>
        <w:rPr>
          <w:rFonts w:ascii="Times New Roman" w:eastAsia="Times New Roman" w:hAnsi="Times New Roman" w:cs="Times New Roman"/>
          <w:sz w:val="24"/>
          <w:szCs w:val="24"/>
        </w:rPr>
        <w:t xml:space="preserve">s long history of </w:t>
      </w:r>
      <w:r w:rsidR="00F53056">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activity engaged in at times when it was illegal for AJS to spend on express advocacy or electioneering communications.  Doing so would be arbitrary, capricious, an abuse of discretion and contrary law, as well as not in conformi</w:t>
      </w:r>
      <w:r w:rsidR="002F4F16">
        <w:rPr>
          <w:rFonts w:ascii="Times New Roman" w:eastAsia="Times New Roman" w:hAnsi="Times New Roman" w:cs="Times New Roman"/>
          <w:sz w:val="24"/>
          <w:szCs w:val="24"/>
        </w:rPr>
        <w:t>ty with the September 19, 2016 O</w:t>
      </w:r>
      <w:r>
        <w:rPr>
          <w:rFonts w:ascii="Times New Roman" w:eastAsia="Times New Roman" w:hAnsi="Times New Roman" w:cs="Times New Roman"/>
          <w:sz w:val="24"/>
          <w:szCs w:val="24"/>
        </w:rPr>
        <w:t>rder</w:t>
      </w:r>
      <w:r w:rsidR="009C2B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t>
      </w:r>
      <w:r w:rsidR="009C2B9C">
        <w:rPr>
          <w:rFonts w:ascii="Times New Roman" w:eastAsia="Times New Roman" w:hAnsi="Times New Roman" w:cs="Times New Roman"/>
          <w:sz w:val="24"/>
          <w:szCs w:val="24"/>
        </w:rPr>
        <w:t xml:space="preserve">AJS’s </w:t>
      </w:r>
      <w:r w:rsidR="009C2B9C">
        <w:rPr>
          <w:rFonts w:ascii="Times New Roman" w:eastAsia="Times New Roman" w:hAnsi="Times New Roman" w:cs="Times New Roman"/>
          <w:sz w:val="24"/>
          <w:szCs w:val="24"/>
        </w:rPr>
        <w:lastRenderedPageBreak/>
        <w:t xml:space="preserve">activities clearly </w:t>
      </w:r>
      <w:r>
        <w:rPr>
          <w:rFonts w:ascii="Times New Roman" w:eastAsia="Times New Roman" w:hAnsi="Times New Roman" w:cs="Times New Roman"/>
          <w:sz w:val="24"/>
          <w:szCs w:val="24"/>
        </w:rPr>
        <w:t>show AJS’s major purpose changed when it became lawful for it to engage in federal campaign activities.</w:t>
      </w:r>
    </w:p>
    <w:p w14:paraId="4949C6C2" w14:textId="1D789A8A" w:rsidR="00D2288F" w:rsidRDefault="00D2288F" w:rsidP="00141E9D">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D2288F">
        <w:rPr>
          <w:rFonts w:ascii="Times New Roman" w:eastAsia="Times New Roman" w:hAnsi="Times New Roman" w:cs="Times New Roman"/>
          <w:sz w:val="24"/>
          <w:szCs w:val="24"/>
        </w:rPr>
        <w:t xml:space="preserve">Plaintiffs are therefore entitled to relief in the form of a declaratory order that defendant FEC is in violation of its statutory responsibilities under 52 U.S.C. § 30109(a)(8) and has acted arbitrary or capriciously, abused its discretion, or acted contrary to law in </w:t>
      </w:r>
      <w:r>
        <w:rPr>
          <w:rFonts w:ascii="Times New Roman" w:eastAsia="Times New Roman" w:hAnsi="Times New Roman" w:cs="Times New Roman"/>
          <w:sz w:val="24"/>
          <w:szCs w:val="24"/>
        </w:rPr>
        <w:t xml:space="preserve">constructively </w:t>
      </w:r>
      <w:r w:rsidRPr="00D2288F">
        <w:rPr>
          <w:rFonts w:ascii="Times New Roman" w:eastAsia="Times New Roman" w:hAnsi="Times New Roman" w:cs="Times New Roman"/>
          <w:sz w:val="24"/>
          <w:szCs w:val="24"/>
        </w:rPr>
        <w:t xml:space="preserve">dismissing on remand Plaintiffs’ complaint </w:t>
      </w:r>
      <w:r>
        <w:rPr>
          <w:rFonts w:ascii="Times New Roman" w:eastAsia="Times New Roman" w:hAnsi="Times New Roman" w:cs="Times New Roman"/>
          <w:sz w:val="24"/>
          <w:szCs w:val="24"/>
        </w:rPr>
        <w:t>against AJS.</w:t>
      </w:r>
      <w:r w:rsidRPr="00D2288F">
        <w:rPr>
          <w:rFonts w:ascii="Times New Roman" w:eastAsia="Times New Roman" w:hAnsi="Times New Roman" w:cs="Times New Roman"/>
          <w:sz w:val="24"/>
          <w:szCs w:val="24"/>
        </w:rPr>
        <w:t xml:space="preserve">  Plaintiffs are further entitled to relief in the form of a declaratory order that the failure of the Commission to act in conformity with the Court’</w:t>
      </w:r>
      <w:r w:rsidR="002F4F16">
        <w:rPr>
          <w:rFonts w:ascii="Times New Roman" w:eastAsia="Times New Roman" w:hAnsi="Times New Roman" w:cs="Times New Roman"/>
          <w:sz w:val="24"/>
          <w:szCs w:val="24"/>
        </w:rPr>
        <w:t>s September 19, 2016 O</w:t>
      </w:r>
      <w:r w:rsidRPr="00D2288F">
        <w:rPr>
          <w:rFonts w:ascii="Times New Roman" w:eastAsia="Times New Roman" w:hAnsi="Times New Roman" w:cs="Times New Roman"/>
          <w:sz w:val="24"/>
          <w:szCs w:val="24"/>
        </w:rPr>
        <w:t xml:space="preserve">rder has given rise to Plaintiffs’ cause of action against </w:t>
      </w:r>
      <w:r>
        <w:rPr>
          <w:rFonts w:ascii="Times New Roman" w:eastAsia="Times New Roman" w:hAnsi="Times New Roman" w:cs="Times New Roman"/>
          <w:sz w:val="24"/>
          <w:szCs w:val="24"/>
        </w:rPr>
        <w:t>AJS</w:t>
      </w:r>
      <w:r w:rsidRPr="00D2288F">
        <w:rPr>
          <w:rFonts w:ascii="Times New Roman" w:eastAsia="Times New Roman" w:hAnsi="Times New Roman" w:cs="Times New Roman"/>
          <w:sz w:val="24"/>
          <w:szCs w:val="24"/>
        </w:rPr>
        <w:t xml:space="preserve"> under 52 U.S.C. § 30109(a)(8)(C) and Plaintiffs are therefore entitled to pursue a civil remedy against </w:t>
      </w:r>
      <w:r>
        <w:rPr>
          <w:rFonts w:ascii="Times New Roman" w:eastAsia="Times New Roman" w:hAnsi="Times New Roman" w:cs="Times New Roman"/>
          <w:sz w:val="24"/>
          <w:szCs w:val="24"/>
        </w:rPr>
        <w:t>AJS</w:t>
      </w:r>
      <w:r w:rsidRPr="00D2288F">
        <w:rPr>
          <w:rFonts w:ascii="Times New Roman" w:eastAsia="Times New Roman" w:hAnsi="Times New Roman" w:cs="Times New Roman"/>
          <w:sz w:val="24"/>
          <w:szCs w:val="24"/>
        </w:rPr>
        <w:t xml:space="preserve"> directly</w:t>
      </w:r>
      <w:r>
        <w:rPr>
          <w:rFonts w:ascii="Times New Roman" w:eastAsia="Times New Roman" w:hAnsi="Times New Roman" w:cs="Times New Roman"/>
          <w:sz w:val="24"/>
          <w:szCs w:val="24"/>
        </w:rPr>
        <w:t>.</w:t>
      </w:r>
    </w:p>
    <w:p w14:paraId="29FCB2A7" w14:textId="16597A0B" w:rsidR="00D2288F" w:rsidRPr="00EF7A76" w:rsidRDefault="00D2288F" w:rsidP="00EF7A76">
      <w:pPr>
        <w:pStyle w:val="NoSpacing"/>
        <w:keepNext/>
        <w:keepLines/>
        <w:spacing w:after="240"/>
        <w:jc w:val="center"/>
        <w:rPr>
          <w:rFonts w:ascii="Times New Roman" w:eastAsia="Times New Roman" w:hAnsi="Times New Roman" w:cs="Times New Roman"/>
          <w:b/>
          <w:bCs/>
          <w:sz w:val="24"/>
          <w:szCs w:val="24"/>
        </w:rPr>
      </w:pPr>
      <w:r w:rsidRPr="00493F9C">
        <w:rPr>
          <w:rFonts w:ascii="Times New Roman" w:hAnsi="Times New Roman" w:cs="Times New Roman"/>
          <w:b/>
          <w:bCs/>
          <w:sz w:val="24"/>
          <w:szCs w:val="24"/>
        </w:rPr>
        <w:t xml:space="preserve">CLAIM </w:t>
      </w:r>
      <w:r>
        <w:rPr>
          <w:rFonts w:ascii="Times New Roman" w:hAnsi="Times New Roman" w:cs="Times New Roman"/>
          <w:b/>
          <w:bCs/>
          <w:sz w:val="24"/>
          <w:szCs w:val="24"/>
        </w:rPr>
        <w:t>THREE</w:t>
      </w:r>
      <w:r>
        <w:rPr>
          <w:rFonts w:ascii="Times New Roman" w:hAnsi="Times New Roman" w:cs="Times New Roman"/>
          <w:b/>
          <w:bCs/>
          <w:sz w:val="24"/>
          <w:szCs w:val="24"/>
        </w:rPr>
        <w:br/>
        <w:t xml:space="preserve">The FEC </w:t>
      </w:r>
      <w:r w:rsidR="00BA2EDC">
        <w:rPr>
          <w:rFonts w:ascii="Times New Roman" w:hAnsi="Times New Roman" w:cs="Times New Roman"/>
          <w:b/>
          <w:bCs/>
          <w:sz w:val="24"/>
          <w:szCs w:val="24"/>
        </w:rPr>
        <w:t>H</w:t>
      </w:r>
      <w:r>
        <w:rPr>
          <w:rFonts w:ascii="Times New Roman" w:hAnsi="Times New Roman" w:cs="Times New Roman"/>
          <w:b/>
          <w:bCs/>
          <w:sz w:val="24"/>
          <w:szCs w:val="24"/>
        </w:rPr>
        <w:t>as Failed to Act on the AJS Matter on Remand</w:t>
      </w:r>
      <w:r>
        <w:rPr>
          <w:rFonts w:ascii="Times New Roman" w:hAnsi="Times New Roman" w:cs="Times New Roman"/>
          <w:b/>
          <w:bCs/>
          <w:sz w:val="24"/>
          <w:szCs w:val="24"/>
        </w:rPr>
        <w:br/>
        <w:t xml:space="preserve">in </w:t>
      </w:r>
      <w:r w:rsidR="00BA2EDC">
        <w:rPr>
          <w:rFonts w:ascii="Times New Roman" w:hAnsi="Times New Roman" w:cs="Times New Roman"/>
          <w:b/>
          <w:bCs/>
          <w:sz w:val="24"/>
          <w:szCs w:val="24"/>
        </w:rPr>
        <w:t>V</w:t>
      </w:r>
      <w:r>
        <w:rPr>
          <w:rFonts w:ascii="Times New Roman" w:hAnsi="Times New Roman" w:cs="Times New Roman"/>
          <w:b/>
          <w:bCs/>
          <w:sz w:val="24"/>
          <w:szCs w:val="24"/>
        </w:rPr>
        <w:t>iolation of the FECA and the Court’s Order</w:t>
      </w:r>
    </w:p>
    <w:p w14:paraId="3D708323" w14:textId="6371C73F" w:rsidR="00D2288F" w:rsidRDefault="00D2288F" w:rsidP="00D2288F">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D2288F">
        <w:rPr>
          <w:rFonts w:ascii="Times New Roman" w:eastAsia="Times New Roman" w:hAnsi="Times New Roman" w:cs="Times New Roman"/>
          <w:sz w:val="24"/>
          <w:szCs w:val="24"/>
        </w:rPr>
        <w:t>Plaintiffs re-allege and incorporate by reference all preceding paragraphs as fully set forth herein</w:t>
      </w:r>
      <w:r>
        <w:rPr>
          <w:rFonts w:ascii="Times New Roman" w:eastAsia="Times New Roman" w:hAnsi="Times New Roman" w:cs="Times New Roman"/>
          <w:sz w:val="24"/>
          <w:szCs w:val="24"/>
        </w:rPr>
        <w:t>.</w:t>
      </w:r>
    </w:p>
    <w:p w14:paraId="7F185495" w14:textId="5615E004" w:rsidR="00D2288F" w:rsidRDefault="00D2288F" w:rsidP="00D2288F">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failing to act within the thirty day’s provided by Judge Cooper’</w:t>
      </w:r>
      <w:r w:rsidR="002F4F16">
        <w:rPr>
          <w:rFonts w:ascii="Times New Roman" w:eastAsia="Times New Roman" w:hAnsi="Times New Roman" w:cs="Times New Roman"/>
          <w:sz w:val="24"/>
          <w:szCs w:val="24"/>
        </w:rPr>
        <w:t>s September 19, 2016 O</w:t>
      </w:r>
      <w:r w:rsidR="002A6103">
        <w:rPr>
          <w:rFonts w:ascii="Times New Roman" w:eastAsia="Times New Roman" w:hAnsi="Times New Roman" w:cs="Times New Roman"/>
          <w:sz w:val="24"/>
          <w:szCs w:val="24"/>
        </w:rPr>
        <w:t>rder, the FEC</w:t>
      </w:r>
      <w:r>
        <w:rPr>
          <w:rFonts w:ascii="Times New Roman" w:eastAsia="Times New Roman" w:hAnsi="Times New Roman" w:cs="Times New Roman"/>
          <w:sz w:val="24"/>
          <w:szCs w:val="24"/>
        </w:rPr>
        <w:t xml:space="preserve"> </w:t>
      </w:r>
      <w:r w:rsidR="00841ACF">
        <w:rPr>
          <w:rFonts w:ascii="Times New Roman" w:eastAsia="Times New Roman" w:hAnsi="Times New Roman" w:cs="Times New Roman"/>
          <w:sz w:val="24"/>
          <w:szCs w:val="24"/>
        </w:rPr>
        <w:t>“fail[</w:t>
      </w:r>
      <w:proofErr w:type="spellStart"/>
      <w:r w:rsidR="00841ACF">
        <w:rPr>
          <w:rFonts w:ascii="Times New Roman" w:eastAsia="Times New Roman" w:hAnsi="Times New Roman" w:cs="Times New Roman"/>
          <w:sz w:val="24"/>
          <w:szCs w:val="24"/>
        </w:rPr>
        <w:t>ed</w:t>
      </w:r>
      <w:proofErr w:type="spellEnd"/>
      <w:r w:rsidR="00841ACF">
        <w:rPr>
          <w:rFonts w:ascii="Times New Roman" w:eastAsia="Times New Roman" w:hAnsi="Times New Roman" w:cs="Times New Roman"/>
          <w:sz w:val="24"/>
          <w:szCs w:val="24"/>
        </w:rPr>
        <w:t xml:space="preserve">] to act” in violation of 52 U.S.C. § 30109(a)(8)(C).  That failure </w:t>
      </w:r>
      <w:r w:rsidR="00841ACF" w:rsidRPr="00841ACF">
        <w:rPr>
          <w:rFonts w:ascii="Times New Roman" w:eastAsia="Times New Roman" w:hAnsi="Times New Roman" w:cs="Times New Roman"/>
          <w:sz w:val="24"/>
          <w:szCs w:val="24"/>
        </w:rPr>
        <w:t>was arbitrary, capricious, an abuse of discretion, and contrary to law</w:t>
      </w:r>
      <w:r w:rsidR="00841ACF">
        <w:rPr>
          <w:rFonts w:ascii="Times New Roman" w:eastAsia="Times New Roman" w:hAnsi="Times New Roman" w:cs="Times New Roman"/>
          <w:sz w:val="24"/>
          <w:szCs w:val="24"/>
        </w:rPr>
        <w:t xml:space="preserve">. </w:t>
      </w:r>
    </w:p>
    <w:p w14:paraId="20DA9569" w14:textId="3622617C" w:rsidR="00C85A9F" w:rsidRDefault="00841ACF" w:rsidP="00C85A9F">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September 19 Order, Judge Cooper gave the FEC thirty days as provided by 52 U.S.C. § 30109(a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8)(C) to correct their unlawful dismissal of Plaintiffs’ administrative complaint against AJS and to act in conformity with the Court’s declaration.  The thirty day period expired on October 19, 2016.  Despite the expiration of that time period, the FEC has neither informed Plaintiffs nor the Court of </w:t>
      </w:r>
      <w:r w:rsidR="00BA2EDC">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actions </w:t>
      </w:r>
      <w:r w:rsidR="00BA2EDC">
        <w:rPr>
          <w:rFonts w:ascii="Times New Roman" w:eastAsia="Times New Roman" w:hAnsi="Times New Roman" w:cs="Times New Roman"/>
          <w:sz w:val="24"/>
          <w:szCs w:val="24"/>
        </w:rPr>
        <w:t xml:space="preserve">related to </w:t>
      </w:r>
      <w:r>
        <w:rPr>
          <w:rFonts w:ascii="Times New Roman" w:eastAsia="Times New Roman" w:hAnsi="Times New Roman" w:cs="Times New Roman"/>
          <w:sz w:val="24"/>
          <w:szCs w:val="24"/>
        </w:rPr>
        <w:t xml:space="preserve">AJS.  On information and belief, the AJS matter remains open before the Commission and the Commissioners have failed to take action consistent with the September 19 Order.  </w:t>
      </w:r>
    </w:p>
    <w:p w14:paraId="61D9E741" w14:textId="657F36EA" w:rsidR="00385EC6" w:rsidRPr="00C85A9F" w:rsidRDefault="00C85A9F" w:rsidP="00C85A9F">
      <w:pPr>
        <w:pStyle w:val="NoSpacing"/>
        <w:numPr>
          <w:ilvl w:val="0"/>
          <w:numId w:val="3"/>
        </w:numPr>
        <w:tabs>
          <w:tab w:val="clear" w:pos="720"/>
          <w:tab w:val="num" w:pos="1380"/>
        </w:tabs>
        <w:spacing w:line="480" w:lineRule="auto"/>
        <w:ind w:left="0" w:firstLine="720"/>
        <w:rPr>
          <w:rFonts w:ascii="Times New Roman" w:eastAsia="Times New Roman" w:hAnsi="Times New Roman" w:cs="Times New Roman"/>
          <w:sz w:val="24"/>
          <w:szCs w:val="24"/>
        </w:rPr>
      </w:pPr>
      <w:r w:rsidRPr="00C85A9F">
        <w:rPr>
          <w:rFonts w:ascii="Times New Roman" w:eastAsia="Times New Roman" w:hAnsi="Times New Roman" w:cs="Times New Roman"/>
          <w:sz w:val="24"/>
          <w:szCs w:val="24"/>
        </w:rPr>
        <w:lastRenderedPageBreak/>
        <w:t xml:space="preserve">Plaintiffs are therefore entitled to relief in the form of a declaratory order that defendant FEC is in violation of its statutory responsibilities under 52 U.S.C. § 30109(a)(8) and has acted arbitrary or capriciously, abused its discretion, or acted contrary to law in </w:t>
      </w:r>
      <w:r>
        <w:rPr>
          <w:rFonts w:ascii="Times New Roman" w:eastAsia="Times New Roman" w:hAnsi="Times New Roman" w:cs="Times New Roman"/>
          <w:sz w:val="24"/>
          <w:szCs w:val="24"/>
        </w:rPr>
        <w:t>failing to act</w:t>
      </w:r>
      <w:r w:rsidRPr="00C85A9F">
        <w:rPr>
          <w:rFonts w:ascii="Times New Roman" w:eastAsia="Times New Roman" w:hAnsi="Times New Roman" w:cs="Times New Roman"/>
          <w:sz w:val="24"/>
          <w:szCs w:val="24"/>
        </w:rPr>
        <w:t xml:space="preserve"> on remand </w:t>
      </w:r>
      <w:r>
        <w:rPr>
          <w:rFonts w:ascii="Times New Roman" w:eastAsia="Times New Roman" w:hAnsi="Times New Roman" w:cs="Times New Roman"/>
          <w:sz w:val="24"/>
          <w:szCs w:val="24"/>
        </w:rPr>
        <w:t xml:space="preserve">on </w:t>
      </w:r>
      <w:r w:rsidRPr="00C85A9F">
        <w:rPr>
          <w:rFonts w:ascii="Times New Roman" w:eastAsia="Times New Roman" w:hAnsi="Times New Roman" w:cs="Times New Roman"/>
          <w:sz w:val="24"/>
          <w:szCs w:val="24"/>
        </w:rPr>
        <w:t>Plaintiffs’ complaint against AJS.  Plaintiffs are further entitled to relief in the form of a declaratory order that the failure of the Commission to act in conformity with the Court’</w:t>
      </w:r>
      <w:r w:rsidR="002F4F16">
        <w:rPr>
          <w:rFonts w:ascii="Times New Roman" w:eastAsia="Times New Roman" w:hAnsi="Times New Roman" w:cs="Times New Roman"/>
          <w:sz w:val="24"/>
          <w:szCs w:val="24"/>
        </w:rPr>
        <w:t>s September 19, 2016 O</w:t>
      </w:r>
      <w:r w:rsidRPr="00C85A9F">
        <w:rPr>
          <w:rFonts w:ascii="Times New Roman" w:eastAsia="Times New Roman" w:hAnsi="Times New Roman" w:cs="Times New Roman"/>
          <w:sz w:val="24"/>
          <w:szCs w:val="24"/>
        </w:rPr>
        <w:t>rder has given rise to Plaintiffs’ cause of action against AJS under 52 U.S.C. § 30109(a)(8)(C) and Plaintiffs are therefore entitled to pursue a civil remedy against AJS directly.</w:t>
      </w:r>
    </w:p>
    <w:p w14:paraId="7F89873F" w14:textId="77777777" w:rsidR="00385EC6" w:rsidRPr="00493F9C" w:rsidRDefault="00C15B27" w:rsidP="00DB0075">
      <w:pPr>
        <w:pStyle w:val="NoSpacing"/>
        <w:keepNext/>
        <w:spacing w:line="480" w:lineRule="auto"/>
        <w:jc w:val="center"/>
        <w:rPr>
          <w:rFonts w:ascii="Times New Roman" w:eastAsia="Times New Roman" w:hAnsi="Times New Roman" w:cs="Times New Roman"/>
          <w:b/>
          <w:bCs/>
          <w:sz w:val="24"/>
          <w:szCs w:val="24"/>
          <w:u w:val="single"/>
        </w:rPr>
      </w:pPr>
      <w:r w:rsidRPr="00493F9C">
        <w:rPr>
          <w:rFonts w:ascii="Times New Roman" w:hAnsi="Times New Roman" w:cs="Times New Roman"/>
          <w:b/>
          <w:bCs/>
          <w:sz w:val="24"/>
          <w:szCs w:val="24"/>
          <w:u w:val="single"/>
        </w:rPr>
        <w:t>REQUESTED RELIEF</w:t>
      </w:r>
    </w:p>
    <w:p w14:paraId="5A166589" w14:textId="77777777" w:rsidR="00385EC6" w:rsidRPr="00493F9C" w:rsidRDefault="00C15B27" w:rsidP="00DB0075">
      <w:pPr>
        <w:pStyle w:val="NoSpacing"/>
        <w:keepNext/>
        <w:spacing w:line="480" w:lineRule="auto"/>
        <w:ind w:firstLine="720"/>
        <w:rPr>
          <w:rFonts w:ascii="Times New Roman" w:eastAsia="Times New Roman" w:hAnsi="Times New Roman" w:cs="Times New Roman"/>
          <w:sz w:val="24"/>
          <w:szCs w:val="24"/>
        </w:rPr>
      </w:pPr>
      <w:r w:rsidRPr="00493F9C">
        <w:rPr>
          <w:rFonts w:ascii="Times New Roman" w:eastAsia="Times New Roman" w:hAnsi="Times New Roman" w:cs="Times New Roman"/>
          <w:sz w:val="24"/>
          <w:szCs w:val="24"/>
        </w:rPr>
        <w:tab/>
        <w:t>WHEREFORE, plaintiffs respectfully request that this Court:</w:t>
      </w:r>
    </w:p>
    <w:p w14:paraId="2842171B" w14:textId="7FA43BFC" w:rsidR="00385EC6" w:rsidRPr="002F4F16" w:rsidRDefault="00C15B27" w:rsidP="00E07251">
      <w:pPr>
        <w:pStyle w:val="NoSpacing"/>
        <w:numPr>
          <w:ilvl w:val="0"/>
          <w:numId w:val="10"/>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Declare that the FEC’s dismissal of </w:t>
      </w:r>
      <w:r w:rsidR="002F4F16">
        <w:rPr>
          <w:rFonts w:ascii="Times New Roman" w:hAnsi="Times New Roman" w:cs="Times New Roman"/>
          <w:sz w:val="24"/>
          <w:szCs w:val="24"/>
        </w:rPr>
        <w:t>MUR 6589 (AAN) on remand</w:t>
      </w:r>
      <w:r w:rsidRPr="00493F9C">
        <w:rPr>
          <w:rFonts w:ascii="Times New Roman" w:hAnsi="Times New Roman" w:cs="Times New Roman"/>
          <w:sz w:val="24"/>
          <w:szCs w:val="24"/>
        </w:rPr>
        <w:t xml:space="preserve"> was arbitrary, capricious, an abuse of discretion, and contrary to law;</w:t>
      </w:r>
    </w:p>
    <w:p w14:paraId="29441E37" w14:textId="3D550829" w:rsidR="002F4F16" w:rsidRPr="002F4F16" w:rsidRDefault="002F4F16" w:rsidP="002F4F16">
      <w:pPr>
        <w:pStyle w:val="NoSpacing"/>
        <w:numPr>
          <w:ilvl w:val="0"/>
          <w:numId w:val="10"/>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Declare that the FEC’s dismissal of </w:t>
      </w:r>
      <w:r>
        <w:rPr>
          <w:rFonts w:ascii="Times New Roman" w:hAnsi="Times New Roman" w:cs="Times New Roman"/>
          <w:sz w:val="24"/>
          <w:szCs w:val="24"/>
        </w:rPr>
        <w:t>MUR 6589 (AAN) on remand</w:t>
      </w:r>
      <w:r w:rsidRPr="00493F9C">
        <w:rPr>
          <w:rFonts w:ascii="Times New Roman" w:hAnsi="Times New Roman" w:cs="Times New Roman"/>
          <w:sz w:val="24"/>
          <w:szCs w:val="24"/>
        </w:rPr>
        <w:t xml:space="preserve"> </w:t>
      </w:r>
      <w:r>
        <w:rPr>
          <w:rFonts w:ascii="Times New Roman" w:hAnsi="Times New Roman" w:cs="Times New Roman"/>
          <w:sz w:val="24"/>
          <w:szCs w:val="24"/>
        </w:rPr>
        <w:t>was not in conformity with Judge Cooper’s September 19, 2010 Order</w:t>
      </w:r>
      <w:r w:rsidRPr="00493F9C">
        <w:rPr>
          <w:rFonts w:ascii="Times New Roman" w:hAnsi="Times New Roman" w:cs="Times New Roman"/>
          <w:sz w:val="24"/>
          <w:szCs w:val="24"/>
        </w:rPr>
        <w:t>;</w:t>
      </w:r>
    </w:p>
    <w:p w14:paraId="76541F5D" w14:textId="2964607B" w:rsidR="002F4F16" w:rsidRDefault="002F4F16" w:rsidP="002F4F16">
      <w:pPr>
        <w:pStyle w:val="NoSpacing"/>
        <w:numPr>
          <w:ilvl w:val="0"/>
          <w:numId w:val="10"/>
        </w:numPr>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Declare that the FEC’s </w:t>
      </w:r>
      <w:r>
        <w:rPr>
          <w:rFonts w:ascii="Times New Roman" w:hAnsi="Times New Roman" w:cs="Times New Roman"/>
          <w:sz w:val="24"/>
          <w:szCs w:val="24"/>
        </w:rPr>
        <w:t xml:space="preserve">constructive </w:t>
      </w:r>
      <w:r w:rsidRPr="00493F9C">
        <w:rPr>
          <w:rFonts w:ascii="Times New Roman" w:hAnsi="Times New Roman" w:cs="Times New Roman"/>
          <w:sz w:val="24"/>
          <w:szCs w:val="24"/>
        </w:rPr>
        <w:t xml:space="preserve">dismissal of </w:t>
      </w:r>
      <w:r>
        <w:rPr>
          <w:rFonts w:ascii="Times New Roman" w:hAnsi="Times New Roman" w:cs="Times New Roman"/>
          <w:sz w:val="24"/>
          <w:szCs w:val="24"/>
        </w:rPr>
        <w:t>MUR 65</w:t>
      </w:r>
      <w:r w:rsidR="002F7A0C">
        <w:rPr>
          <w:rFonts w:ascii="Times New Roman" w:hAnsi="Times New Roman" w:cs="Times New Roman"/>
          <w:sz w:val="24"/>
          <w:szCs w:val="24"/>
        </w:rPr>
        <w:t>3</w:t>
      </w:r>
      <w:r>
        <w:rPr>
          <w:rFonts w:ascii="Times New Roman" w:hAnsi="Times New Roman" w:cs="Times New Roman"/>
          <w:sz w:val="24"/>
          <w:szCs w:val="24"/>
        </w:rPr>
        <w:t>8 (AJS) on remand</w:t>
      </w:r>
      <w:r w:rsidRPr="00493F9C">
        <w:rPr>
          <w:rFonts w:ascii="Times New Roman" w:hAnsi="Times New Roman" w:cs="Times New Roman"/>
          <w:sz w:val="24"/>
          <w:szCs w:val="24"/>
        </w:rPr>
        <w:t xml:space="preserve"> was arbitrary, capricious, an abuse of discretion, and contrary to law</w:t>
      </w:r>
      <w:r>
        <w:rPr>
          <w:rFonts w:ascii="Times New Roman" w:hAnsi="Times New Roman" w:cs="Times New Roman"/>
          <w:sz w:val="24"/>
          <w:szCs w:val="24"/>
        </w:rPr>
        <w:t>;</w:t>
      </w:r>
    </w:p>
    <w:p w14:paraId="77BA9D54" w14:textId="5430F61C" w:rsidR="002F4F16" w:rsidRPr="002F4F16" w:rsidRDefault="002F4F16" w:rsidP="002F4F16">
      <w:pPr>
        <w:pStyle w:val="NoSpacing"/>
        <w:numPr>
          <w:ilvl w:val="0"/>
          <w:numId w:val="10"/>
        </w:numPr>
        <w:spacing w:line="480" w:lineRule="auto"/>
        <w:ind w:left="0" w:firstLine="720"/>
        <w:rPr>
          <w:rFonts w:ascii="Times New Roman" w:eastAsia="Times New Roman" w:hAnsi="Times New Roman" w:cs="Times New Roman"/>
          <w:sz w:val="24"/>
          <w:szCs w:val="24"/>
        </w:rPr>
      </w:pPr>
      <w:r w:rsidRPr="002F4F16">
        <w:rPr>
          <w:rFonts w:ascii="Times New Roman" w:hAnsi="Times New Roman" w:cs="Times New Roman"/>
          <w:sz w:val="24"/>
          <w:szCs w:val="24"/>
        </w:rPr>
        <w:t xml:space="preserve">Declare that the FEC’s </w:t>
      </w:r>
      <w:r>
        <w:rPr>
          <w:rFonts w:ascii="Times New Roman" w:hAnsi="Times New Roman" w:cs="Times New Roman"/>
          <w:sz w:val="24"/>
          <w:szCs w:val="24"/>
        </w:rPr>
        <w:t xml:space="preserve">constructive </w:t>
      </w:r>
      <w:r w:rsidRPr="002F4F16">
        <w:rPr>
          <w:rFonts w:ascii="Times New Roman" w:hAnsi="Times New Roman" w:cs="Times New Roman"/>
          <w:sz w:val="24"/>
          <w:szCs w:val="24"/>
        </w:rPr>
        <w:t xml:space="preserve">dismissal of MUR </w:t>
      </w:r>
      <w:r>
        <w:rPr>
          <w:rFonts w:ascii="Times New Roman" w:hAnsi="Times New Roman" w:cs="Times New Roman"/>
          <w:sz w:val="24"/>
          <w:szCs w:val="24"/>
        </w:rPr>
        <w:t>65</w:t>
      </w:r>
      <w:r w:rsidR="002F7A0C">
        <w:rPr>
          <w:rFonts w:ascii="Times New Roman" w:hAnsi="Times New Roman" w:cs="Times New Roman"/>
          <w:sz w:val="24"/>
          <w:szCs w:val="24"/>
        </w:rPr>
        <w:t>3</w:t>
      </w:r>
      <w:r>
        <w:rPr>
          <w:rFonts w:ascii="Times New Roman" w:hAnsi="Times New Roman" w:cs="Times New Roman"/>
          <w:sz w:val="24"/>
          <w:szCs w:val="24"/>
        </w:rPr>
        <w:t>8 (AJS</w:t>
      </w:r>
      <w:r w:rsidRPr="002F4F16">
        <w:rPr>
          <w:rFonts w:ascii="Times New Roman" w:hAnsi="Times New Roman" w:cs="Times New Roman"/>
          <w:sz w:val="24"/>
          <w:szCs w:val="24"/>
        </w:rPr>
        <w:t>) on remand was not in conformity with Judge Cooper’</w:t>
      </w:r>
      <w:r>
        <w:rPr>
          <w:rFonts w:ascii="Times New Roman" w:hAnsi="Times New Roman" w:cs="Times New Roman"/>
          <w:sz w:val="24"/>
          <w:szCs w:val="24"/>
        </w:rPr>
        <w:t>s September 19, 2010 O</w:t>
      </w:r>
      <w:r w:rsidRPr="002F4F16">
        <w:rPr>
          <w:rFonts w:ascii="Times New Roman" w:hAnsi="Times New Roman" w:cs="Times New Roman"/>
          <w:sz w:val="24"/>
          <w:szCs w:val="24"/>
        </w:rPr>
        <w:t>rder;</w:t>
      </w:r>
    </w:p>
    <w:p w14:paraId="7F221587" w14:textId="4493EA0D" w:rsidR="002F4F16" w:rsidRPr="002F4F16" w:rsidRDefault="002F4F16" w:rsidP="002F4F16">
      <w:pPr>
        <w:pStyle w:val="NoSpacing"/>
        <w:numPr>
          <w:ilvl w:val="0"/>
          <w:numId w:val="10"/>
        </w:numPr>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t>Declare that the FEC’s failure to act on MUR 65</w:t>
      </w:r>
      <w:r w:rsidR="002F7A0C">
        <w:rPr>
          <w:rFonts w:ascii="Times New Roman" w:hAnsi="Times New Roman" w:cs="Times New Roman"/>
          <w:sz w:val="24"/>
          <w:szCs w:val="24"/>
        </w:rPr>
        <w:t>3</w:t>
      </w:r>
      <w:r>
        <w:rPr>
          <w:rFonts w:ascii="Times New Roman" w:hAnsi="Times New Roman" w:cs="Times New Roman"/>
          <w:sz w:val="24"/>
          <w:szCs w:val="24"/>
        </w:rPr>
        <w:t xml:space="preserve">8 (AJS) on remand was </w:t>
      </w:r>
      <w:r w:rsidR="002A23B2">
        <w:rPr>
          <w:rFonts w:ascii="Times New Roman" w:hAnsi="Times New Roman" w:cs="Times New Roman"/>
          <w:sz w:val="24"/>
          <w:szCs w:val="24"/>
        </w:rPr>
        <w:t>arbitrary</w:t>
      </w:r>
      <w:r>
        <w:rPr>
          <w:rFonts w:ascii="Times New Roman" w:hAnsi="Times New Roman" w:cs="Times New Roman"/>
          <w:sz w:val="24"/>
          <w:szCs w:val="24"/>
        </w:rPr>
        <w:t xml:space="preserve">, capricious, an abuse of discretion, and contrary to law; </w:t>
      </w:r>
    </w:p>
    <w:p w14:paraId="4909A6C4" w14:textId="447E32AC" w:rsidR="002F4F16" w:rsidRPr="002F4F16" w:rsidRDefault="002F4F16" w:rsidP="002F4F16">
      <w:pPr>
        <w:pStyle w:val="NoSpacing"/>
        <w:numPr>
          <w:ilvl w:val="0"/>
          <w:numId w:val="10"/>
        </w:numPr>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t>Declare that the FEC’s failure to act on MUR 65</w:t>
      </w:r>
      <w:r w:rsidR="002F7A0C">
        <w:rPr>
          <w:rFonts w:ascii="Times New Roman" w:hAnsi="Times New Roman" w:cs="Times New Roman"/>
          <w:sz w:val="24"/>
          <w:szCs w:val="24"/>
        </w:rPr>
        <w:t>3</w:t>
      </w:r>
      <w:r>
        <w:rPr>
          <w:rFonts w:ascii="Times New Roman" w:hAnsi="Times New Roman" w:cs="Times New Roman"/>
          <w:sz w:val="24"/>
          <w:szCs w:val="24"/>
        </w:rPr>
        <w:t>8 (AJS) on remand was not in conformity with Judge Cooper’s September 19, 2010 Order;</w:t>
      </w:r>
    </w:p>
    <w:p w14:paraId="0A7D3496" w14:textId="6002B255" w:rsidR="00385EC6" w:rsidRPr="002F4F16" w:rsidRDefault="00C15B27" w:rsidP="00E07251">
      <w:pPr>
        <w:pStyle w:val="NoSpacing"/>
        <w:numPr>
          <w:ilvl w:val="0"/>
          <w:numId w:val="10"/>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lastRenderedPageBreak/>
        <w:t>Order the FEC to conform to such declaration with</w:t>
      </w:r>
      <w:r w:rsidR="00A513F0" w:rsidRPr="00493F9C">
        <w:rPr>
          <w:rFonts w:ascii="Times New Roman" w:hAnsi="Times New Roman" w:cs="Times New Roman"/>
          <w:sz w:val="24"/>
          <w:szCs w:val="24"/>
        </w:rPr>
        <w:t>in</w:t>
      </w:r>
      <w:r w:rsidRPr="00493F9C">
        <w:rPr>
          <w:rFonts w:ascii="Times New Roman" w:hAnsi="Times New Roman" w:cs="Times New Roman"/>
          <w:sz w:val="24"/>
          <w:szCs w:val="24"/>
        </w:rPr>
        <w:t xml:space="preserve"> 30 days pursuant to 52 U.S.C. § 30109(a)(8)(C)</w:t>
      </w:r>
      <w:r w:rsidR="002F4F16">
        <w:rPr>
          <w:rFonts w:ascii="Times New Roman" w:hAnsi="Times New Roman" w:cs="Times New Roman"/>
          <w:sz w:val="24"/>
          <w:szCs w:val="24"/>
        </w:rPr>
        <w:t xml:space="preserve"> or, alternatively, declare the FEC’s failure to act in conformity with Judge Cooper’s September 19, 2010 Order on either AAN or AJS or both has given rise to Plaintiffs’ cause of action against AAN </w:t>
      </w:r>
      <w:r w:rsidR="009019A7">
        <w:rPr>
          <w:rFonts w:ascii="Times New Roman" w:hAnsi="Times New Roman" w:cs="Times New Roman"/>
          <w:sz w:val="24"/>
          <w:szCs w:val="24"/>
        </w:rPr>
        <w:t>or AJS or both</w:t>
      </w:r>
      <w:bookmarkStart w:id="0" w:name="_GoBack"/>
      <w:bookmarkEnd w:id="0"/>
      <w:r w:rsidRPr="00493F9C">
        <w:rPr>
          <w:rFonts w:ascii="Times New Roman" w:hAnsi="Times New Roman" w:cs="Times New Roman"/>
          <w:sz w:val="24"/>
          <w:szCs w:val="24"/>
        </w:rPr>
        <w:t>;</w:t>
      </w:r>
    </w:p>
    <w:p w14:paraId="005726CD" w14:textId="28CF0787" w:rsidR="00385EC6" w:rsidRPr="00493F9C" w:rsidRDefault="00C15B27" w:rsidP="00E07251">
      <w:pPr>
        <w:pStyle w:val="NoSpacing"/>
        <w:numPr>
          <w:ilvl w:val="0"/>
          <w:numId w:val="10"/>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Award </w:t>
      </w:r>
      <w:r w:rsidR="002A23B2">
        <w:rPr>
          <w:rFonts w:ascii="Times New Roman" w:hAnsi="Times New Roman" w:cs="Times New Roman"/>
          <w:sz w:val="24"/>
          <w:szCs w:val="24"/>
        </w:rPr>
        <w:t>P</w:t>
      </w:r>
      <w:r w:rsidRPr="00493F9C">
        <w:rPr>
          <w:rFonts w:ascii="Times New Roman" w:hAnsi="Times New Roman" w:cs="Times New Roman"/>
          <w:sz w:val="24"/>
          <w:szCs w:val="24"/>
        </w:rPr>
        <w:t>laintiffs their costs, expenses, and reasonable attorneys’ fees in this action; and</w:t>
      </w:r>
    </w:p>
    <w:p w14:paraId="2A7844D1" w14:textId="77777777" w:rsidR="00385EC6" w:rsidRPr="00493F9C" w:rsidRDefault="00C15B27" w:rsidP="00E07251">
      <w:pPr>
        <w:pStyle w:val="NoSpacing"/>
        <w:numPr>
          <w:ilvl w:val="0"/>
          <w:numId w:val="10"/>
        </w:numPr>
        <w:tabs>
          <w:tab w:val="clear" w:pos="720"/>
          <w:tab w:val="num" w:pos="1380"/>
        </w:tabs>
        <w:spacing w:line="480" w:lineRule="auto"/>
        <w:ind w:left="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Grant such other and further relief as the Court may deem just and proper. </w:t>
      </w:r>
    </w:p>
    <w:p w14:paraId="2B545CD0" w14:textId="77777777" w:rsidR="00BA2EDC" w:rsidRDefault="00BA2EDC" w:rsidP="009C093A">
      <w:pPr>
        <w:pStyle w:val="NoSpacing"/>
        <w:rPr>
          <w:rFonts w:ascii="Times New Roman" w:hAnsi="Times New Roman" w:cs="Times New Roman"/>
          <w:sz w:val="24"/>
          <w:szCs w:val="24"/>
        </w:rPr>
      </w:pPr>
    </w:p>
    <w:p w14:paraId="62F4BE32" w14:textId="77777777" w:rsidR="00385EC6" w:rsidRPr="00493F9C" w:rsidRDefault="00C15B27" w:rsidP="009C093A">
      <w:pPr>
        <w:pStyle w:val="NoSpacing"/>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                                         </w:t>
      </w:r>
      <w:r w:rsidRPr="00493F9C">
        <w:rPr>
          <w:rFonts w:ascii="Times New Roman" w:hAnsi="Times New Roman" w:cs="Times New Roman"/>
          <w:sz w:val="24"/>
          <w:szCs w:val="24"/>
        </w:rPr>
        <w:tab/>
      </w:r>
      <w:r w:rsidRPr="00493F9C">
        <w:rPr>
          <w:rFonts w:ascii="Times New Roman" w:hAnsi="Times New Roman" w:cs="Times New Roman"/>
          <w:sz w:val="24"/>
          <w:szCs w:val="24"/>
        </w:rPr>
        <w:tab/>
        <w:t>Respectfully submitted,</w:t>
      </w:r>
    </w:p>
    <w:p w14:paraId="62317C33" w14:textId="77777777" w:rsidR="00385EC6" w:rsidRPr="00493F9C" w:rsidRDefault="00385EC6" w:rsidP="00E07251">
      <w:pPr>
        <w:pStyle w:val="NoSpacing"/>
        <w:spacing w:line="480" w:lineRule="auto"/>
        <w:rPr>
          <w:rFonts w:ascii="Times New Roman" w:eastAsia="Times New Roman" w:hAnsi="Times New Roman" w:cs="Times New Roman"/>
          <w:sz w:val="24"/>
          <w:szCs w:val="24"/>
        </w:rPr>
      </w:pPr>
    </w:p>
    <w:p w14:paraId="1F7689EB" w14:textId="77777777" w:rsidR="00385EC6" w:rsidRPr="00493F9C" w:rsidRDefault="00C15B27">
      <w:pPr>
        <w:pStyle w:val="NoSpacing"/>
        <w:ind w:left="1440" w:firstLine="720"/>
        <w:jc w:val="center"/>
        <w:rPr>
          <w:rFonts w:ascii="Times New Roman" w:eastAsia="Times New Roman" w:hAnsi="Times New Roman" w:cs="Times New Roman"/>
          <w:sz w:val="24"/>
          <w:szCs w:val="24"/>
        </w:rPr>
      </w:pPr>
      <w:r w:rsidRPr="00493F9C">
        <w:rPr>
          <w:rFonts w:ascii="Times New Roman" w:hAnsi="Times New Roman" w:cs="Times New Roman"/>
          <w:sz w:val="24"/>
          <w:szCs w:val="24"/>
        </w:rPr>
        <w:t>________________________</w:t>
      </w:r>
    </w:p>
    <w:p w14:paraId="2195CA99" w14:textId="40BF05F7" w:rsidR="00385EC6" w:rsidRPr="00493F9C" w:rsidRDefault="002349C5" w:rsidP="002349C5">
      <w:pPr>
        <w:pStyle w:val="NoSpacing"/>
        <w:tabs>
          <w:tab w:val="left" w:pos="4320"/>
        </w:tabs>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019A7">
        <w:rPr>
          <w:rFonts w:ascii="Times New Roman" w:hAnsi="Times New Roman" w:cs="Times New Roman"/>
          <w:sz w:val="24"/>
          <w:szCs w:val="24"/>
        </w:rPr>
        <w:t xml:space="preserve">STUART </w:t>
      </w:r>
      <w:proofErr w:type="spellStart"/>
      <w:r w:rsidR="009019A7">
        <w:rPr>
          <w:rFonts w:ascii="Times New Roman" w:hAnsi="Times New Roman" w:cs="Times New Roman"/>
          <w:sz w:val="24"/>
          <w:szCs w:val="24"/>
        </w:rPr>
        <w:t>McPHAIL</w:t>
      </w:r>
      <w:proofErr w:type="spellEnd"/>
    </w:p>
    <w:p w14:paraId="0A8A1B57" w14:textId="296099E4" w:rsidR="00385EC6" w:rsidRPr="00493F9C" w:rsidRDefault="00C15B27">
      <w:pPr>
        <w:pStyle w:val="NoSpacing"/>
        <w:ind w:left="360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(D.C. </w:t>
      </w:r>
      <w:proofErr w:type="gramStart"/>
      <w:r w:rsidRPr="00493F9C">
        <w:rPr>
          <w:rFonts w:ascii="Times New Roman" w:hAnsi="Times New Roman" w:cs="Times New Roman"/>
          <w:sz w:val="24"/>
          <w:szCs w:val="24"/>
        </w:rPr>
        <w:t>Bar</w:t>
      </w:r>
      <w:proofErr w:type="gramEnd"/>
      <w:r w:rsidRPr="00493F9C">
        <w:rPr>
          <w:rFonts w:ascii="Times New Roman" w:hAnsi="Times New Roman" w:cs="Times New Roman"/>
          <w:sz w:val="24"/>
          <w:szCs w:val="24"/>
        </w:rPr>
        <w:t xml:space="preserve"> No. </w:t>
      </w:r>
      <w:r w:rsidR="00B75541">
        <w:rPr>
          <w:rFonts w:ascii="Times New Roman" w:hAnsi="Times New Roman" w:cs="Times New Roman"/>
          <w:sz w:val="24"/>
          <w:szCs w:val="24"/>
        </w:rPr>
        <w:t>1032529</w:t>
      </w:r>
      <w:r w:rsidR="002A23B2">
        <w:rPr>
          <w:rFonts w:ascii="Times New Roman" w:hAnsi="Times New Roman" w:cs="Times New Roman"/>
          <w:sz w:val="24"/>
          <w:szCs w:val="24"/>
        </w:rPr>
        <w:t>)</w:t>
      </w:r>
    </w:p>
    <w:p w14:paraId="6F477E38" w14:textId="77777777" w:rsidR="00385EC6" w:rsidRPr="00493F9C" w:rsidRDefault="00C15B27">
      <w:pPr>
        <w:pStyle w:val="NoSpacing"/>
        <w:ind w:left="3600" w:firstLine="720"/>
        <w:rPr>
          <w:rFonts w:ascii="Times New Roman" w:eastAsia="Times New Roman" w:hAnsi="Times New Roman" w:cs="Times New Roman"/>
          <w:sz w:val="24"/>
          <w:szCs w:val="24"/>
        </w:rPr>
      </w:pPr>
      <w:r w:rsidRPr="00493F9C">
        <w:rPr>
          <w:rFonts w:ascii="Times New Roman" w:hAnsi="Times New Roman" w:cs="Times New Roman"/>
          <w:sz w:val="24"/>
          <w:szCs w:val="24"/>
        </w:rPr>
        <w:t xml:space="preserve">Citizens for Responsibility and Ethics </w:t>
      </w:r>
    </w:p>
    <w:p w14:paraId="24C20B3A" w14:textId="77777777" w:rsidR="00385EC6" w:rsidRPr="00493F9C" w:rsidRDefault="00C15B27" w:rsidP="00B75541">
      <w:pPr>
        <w:pStyle w:val="NoSpacing"/>
        <w:ind w:left="4320" w:firstLine="270"/>
        <w:rPr>
          <w:rFonts w:ascii="Times New Roman" w:eastAsia="Times New Roman" w:hAnsi="Times New Roman" w:cs="Times New Roman"/>
          <w:sz w:val="24"/>
          <w:szCs w:val="24"/>
        </w:rPr>
      </w:pPr>
      <w:proofErr w:type="gramStart"/>
      <w:r w:rsidRPr="00493F9C">
        <w:rPr>
          <w:rFonts w:ascii="Times New Roman" w:hAnsi="Times New Roman" w:cs="Times New Roman"/>
          <w:sz w:val="24"/>
          <w:szCs w:val="24"/>
        </w:rPr>
        <w:t>in</w:t>
      </w:r>
      <w:proofErr w:type="gramEnd"/>
      <w:r w:rsidRPr="00493F9C">
        <w:rPr>
          <w:rFonts w:ascii="Times New Roman" w:hAnsi="Times New Roman" w:cs="Times New Roman"/>
          <w:sz w:val="24"/>
          <w:szCs w:val="24"/>
        </w:rPr>
        <w:t xml:space="preserve"> Washington</w:t>
      </w:r>
    </w:p>
    <w:p w14:paraId="433584AA" w14:textId="06B95C10" w:rsidR="00385EC6" w:rsidRPr="00493F9C" w:rsidRDefault="00BC2C16">
      <w:pPr>
        <w:pStyle w:val="NoSpacing"/>
        <w:ind w:left="3600" w:firstLine="720"/>
        <w:rPr>
          <w:rFonts w:ascii="Times New Roman" w:eastAsia="Times New Roman" w:hAnsi="Times New Roman" w:cs="Times New Roman"/>
          <w:sz w:val="24"/>
          <w:szCs w:val="24"/>
        </w:rPr>
      </w:pPr>
      <w:r w:rsidRPr="00493F9C">
        <w:rPr>
          <w:rFonts w:ascii="Times New Roman" w:hAnsi="Times New Roman" w:cs="Times New Roman"/>
          <w:sz w:val="24"/>
          <w:szCs w:val="24"/>
        </w:rPr>
        <w:t>455</w:t>
      </w:r>
      <w:r w:rsidR="00C15B27" w:rsidRPr="00493F9C">
        <w:rPr>
          <w:rFonts w:ascii="Times New Roman" w:hAnsi="Times New Roman" w:cs="Times New Roman"/>
          <w:sz w:val="24"/>
          <w:szCs w:val="24"/>
        </w:rPr>
        <w:t xml:space="preserve"> Massachusetts Ave.</w:t>
      </w:r>
      <w:r w:rsidRPr="00493F9C">
        <w:rPr>
          <w:rFonts w:ascii="Times New Roman" w:hAnsi="Times New Roman" w:cs="Times New Roman"/>
          <w:sz w:val="24"/>
          <w:szCs w:val="24"/>
        </w:rPr>
        <w:t xml:space="preserve"> N.W.</w:t>
      </w:r>
      <w:r w:rsidR="00C15B27" w:rsidRPr="00493F9C">
        <w:rPr>
          <w:rFonts w:ascii="Times New Roman" w:hAnsi="Times New Roman" w:cs="Times New Roman"/>
          <w:sz w:val="24"/>
          <w:szCs w:val="24"/>
        </w:rPr>
        <w:t>, Sixth Floor</w:t>
      </w:r>
    </w:p>
    <w:p w14:paraId="772F4A5E" w14:textId="77777777" w:rsidR="00385EC6" w:rsidRPr="00493F9C" w:rsidRDefault="00C15B27">
      <w:pPr>
        <w:pStyle w:val="NoSpacing"/>
        <w:ind w:left="3600" w:firstLine="720"/>
        <w:rPr>
          <w:rFonts w:ascii="Times New Roman" w:eastAsia="Times New Roman" w:hAnsi="Times New Roman" w:cs="Times New Roman"/>
          <w:sz w:val="24"/>
          <w:szCs w:val="24"/>
        </w:rPr>
      </w:pPr>
      <w:r w:rsidRPr="00493F9C">
        <w:rPr>
          <w:rFonts w:ascii="Times New Roman" w:hAnsi="Times New Roman" w:cs="Times New Roman"/>
          <w:sz w:val="24"/>
          <w:szCs w:val="24"/>
        </w:rPr>
        <w:t>Washington, D.C. 20001</w:t>
      </w:r>
    </w:p>
    <w:p w14:paraId="6C44E577" w14:textId="77777777" w:rsidR="00385EC6" w:rsidRPr="00493F9C" w:rsidRDefault="00C15B27">
      <w:pPr>
        <w:pStyle w:val="NoSpacing"/>
        <w:ind w:left="3600" w:firstLine="720"/>
        <w:rPr>
          <w:rFonts w:ascii="Times New Roman" w:eastAsia="Times New Roman" w:hAnsi="Times New Roman" w:cs="Times New Roman"/>
          <w:sz w:val="24"/>
          <w:szCs w:val="24"/>
        </w:rPr>
      </w:pPr>
      <w:r w:rsidRPr="00493F9C">
        <w:rPr>
          <w:rFonts w:ascii="Times New Roman" w:hAnsi="Times New Roman" w:cs="Times New Roman"/>
          <w:sz w:val="24"/>
          <w:szCs w:val="24"/>
        </w:rPr>
        <w:t>Phone: (202) 408-5565</w:t>
      </w:r>
    </w:p>
    <w:p w14:paraId="2A240709" w14:textId="77777777" w:rsidR="00385EC6" w:rsidRPr="00493F9C" w:rsidRDefault="00C15B27">
      <w:pPr>
        <w:pStyle w:val="NoSpacing"/>
        <w:ind w:left="3600" w:firstLine="720"/>
        <w:rPr>
          <w:rFonts w:ascii="Times New Roman" w:eastAsia="Times New Roman" w:hAnsi="Times New Roman" w:cs="Times New Roman"/>
          <w:sz w:val="24"/>
          <w:szCs w:val="24"/>
        </w:rPr>
      </w:pPr>
      <w:r w:rsidRPr="00493F9C">
        <w:rPr>
          <w:rFonts w:ascii="Times New Roman" w:hAnsi="Times New Roman" w:cs="Times New Roman"/>
          <w:sz w:val="24"/>
          <w:szCs w:val="24"/>
        </w:rPr>
        <w:t>Facsimile: (202) 588-5020</w:t>
      </w:r>
    </w:p>
    <w:p w14:paraId="432EA109" w14:textId="10A9CEE1" w:rsidR="00385EC6" w:rsidRPr="00C53199" w:rsidRDefault="00B75541">
      <w:pPr>
        <w:pStyle w:val="NoSpacing"/>
        <w:ind w:left="3600" w:firstLine="720"/>
        <w:rPr>
          <w:rFonts w:ascii="Times New Roman" w:eastAsia="Times New Roman" w:hAnsi="Times New Roman" w:cs="Times New Roman"/>
          <w:sz w:val="20"/>
          <w:szCs w:val="20"/>
        </w:rPr>
      </w:pPr>
      <w:r>
        <w:rPr>
          <w:rFonts w:ascii="Times New Roman" w:hAnsi="Times New Roman" w:cs="Times New Roman"/>
          <w:sz w:val="24"/>
          <w:szCs w:val="24"/>
        </w:rPr>
        <w:t>smcphail</w:t>
      </w:r>
      <w:r w:rsidR="00C15B27" w:rsidRPr="00493F9C">
        <w:rPr>
          <w:rFonts w:ascii="Times New Roman" w:hAnsi="Times New Roman" w:cs="Times New Roman"/>
          <w:sz w:val="24"/>
          <w:szCs w:val="24"/>
        </w:rPr>
        <w:t>@citizensforethics.org</w:t>
      </w:r>
    </w:p>
    <w:p w14:paraId="580DFF48" w14:textId="32472A61" w:rsidR="00385EC6" w:rsidRPr="00493F9C" w:rsidRDefault="00C53199">
      <w:pPr>
        <w:pStyle w:val="NoSpacing"/>
        <w:rPr>
          <w:rFonts w:ascii="Times New Roman" w:hAnsi="Times New Roman" w:cs="Times New Roman"/>
        </w:rPr>
      </w:pPr>
      <w:r w:rsidRPr="00C53199">
        <w:rPr>
          <w:rFonts w:ascii="Times New Roman" w:hAnsi="Times New Roman" w:cs="Times New Roman"/>
          <w:sz w:val="20"/>
          <w:szCs w:val="20"/>
        </w:rPr>
        <w:br/>
      </w:r>
      <w:r w:rsidR="00C15B27" w:rsidRPr="00493F9C">
        <w:rPr>
          <w:rFonts w:ascii="Times New Roman" w:hAnsi="Times New Roman" w:cs="Times New Roman"/>
          <w:sz w:val="24"/>
          <w:szCs w:val="24"/>
        </w:rPr>
        <w:t xml:space="preserve">November </w:t>
      </w:r>
      <w:r w:rsidR="00B75541">
        <w:rPr>
          <w:rFonts w:ascii="Times New Roman" w:hAnsi="Times New Roman" w:cs="Times New Roman"/>
          <w:sz w:val="24"/>
          <w:szCs w:val="24"/>
        </w:rPr>
        <w:t>__</w:t>
      </w:r>
      <w:r w:rsidR="00C15B27" w:rsidRPr="00493F9C">
        <w:rPr>
          <w:rFonts w:ascii="Times New Roman" w:hAnsi="Times New Roman" w:cs="Times New Roman"/>
          <w:sz w:val="24"/>
          <w:szCs w:val="24"/>
        </w:rPr>
        <w:t>, 201</w:t>
      </w:r>
      <w:r w:rsidR="00B75541">
        <w:rPr>
          <w:rFonts w:ascii="Times New Roman" w:hAnsi="Times New Roman" w:cs="Times New Roman"/>
          <w:sz w:val="24"/>
          <w:szCs w:val="24"/>
        </w:rPr>
        <w:t>6</w:t>
      </w:r>
      <w:r w:rsidR="00C15B27" w:rsidRPr="00493F9C">
        <w:rPr>
          <w:rFonts w:ascii="Times New Roman" w:hAnsi="Times New Roman" w:cs="Times New Roman"/>
          <w:sz w:val="24"/>
          <w:szCs w:val="24"/>
        </w:rPr>
        <w:tab/>
      </w:r>
      <w:r w:rsidR="00C15B27" w:rsidRPr="00493F9C">
        <w:rPr>
          <w:rFonts w:ascii="Times New Roman" w:hAnsi="Times New Roman" w:cs="Times New Roman"/>
          <w:sz w:val="24"/>
          <w:szCs w:val="24"/>
        </w:rPr>
        <w:tab/>
      </w:r>
      <w:r w:rsidR="00C15B27" w:rsidRPr="00493F9C">
        <w:rPr>
          <w:rFonts w:ascii="Times New Roman" w:hAnsi="Times New Roman" w:cs="Times New Roman"/>
          <w:i/>
          <w:iCs/>
          <w:sz w:val="24"/>
          <w:szCs w:val="24"/>
        </w:rPr>
        <w:t>Attorney for Plaintiffs</w:t>
      </w:r>
    </w:p>
    <w:sectPr w:rsidR="00385EC6" w:rsidRPr="00493F9C" w:rsidSect="00BC2C16">
      <w:foot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25871" w14:textId="77777777" w:rsidR="001B614B" w:rsidRDefault="001B614B">
      <w:r>
        <w:separator/>
      </w:r>
    </w:p>
  </w:endnote>
  <w:endnote w:type="continuationSeparator" w:id="0">
    <w:p w14:paraId="243AF76B" w14:textId="77777777" w:rsidR="001B614B" w:rsidRDefault="001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583D" w14:textId="7C6D9432" w:rsidR="00200BA7" w:rsidRDefault="00200BA7">
    <w:pPr>
      <w:pStyle w:val="Footer"/>
      <w:tabs>
        <w:tab w:val="clear" w:pos="9360"/>
        <w:tab w:val="right" w:pos="9340"/>
      </w:tabs>
      <w:jc w:val="center"/>
    </w:pPr>
    <w:r>
      <w:rPr>
        <w:rFonts w:ascii="Times New Roman"/>
      </w:rPr>
      <w:fldChar w:fldCharType="begin"/>
    </w:r>
    <w:r>
      <w:rPr>
        <w:rFonts w:ascii="Times New Roman"/>
      </w:rPr>
      <w:instrText xml:space="preserve"> PAGE </w:instrText>
    </w:r>
    <w:r>
      <w:rPr>
        <w:rFonts w:ascii="Times New Roman"/>
      </w:rPr>
      <w:fldChar w:fldCharType="separate"/>
    </w:r>
    <w:r w:rsidR="001D5FB4">
      <w:rPr>
        <w:rFonts w:ascii="Times New Roman"/>
        <w:noProof/>
      </w:rPr>
      <w:t>28</w:t>
    </w:r>
    <w:r>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8F21D" w14:textId="77777777" w:rsidR="001B614B" w:rsidRDefault="001B614B">
      <w:r>
        <w:separator/>
      </w:r>
    </w:p>
  </w:footnote>
  <w:footnote w:type="continuationSeparator" w:id="0">
    <w:p w14:paraId="7D0EAF49" w14:textId="77777777" w:rsidR="001B614B" w:rsidRDefault="001B614B">
      <w:r>
        <w:continuationSeparator/>
      </w:r>
    </w:p>
  </w:footnote>
  <w:footnote w:type="continuationNotice" w:id="1">
    <w:p w14:paraId="1A8E1270" w14:textId="77777777" w:rsidR="001B614B" w:rsidRDefault="001B61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E511" w14:textId="6306577F" w:rsidR="00200BA7" w:rsidRDefault="00200BA7">
    <w:pPr>
      <w:pStyle w:val="HeaderFooter"/>
    </w:pPr>
    <w:r>
      <w:t>ATTORNEY WORK PRODUCT</w:t>
    </w:r>
    <w:r>
      <w:br/>
      <w:t>ATTORNEY CLIENT PRIVILEGE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479"/>
    <w:multiLevelType w:val="multilevel"/>
    <w:tmpl w:val="3878C4C2"/>
    <w:lvl w:ilvl="0">
      <w:start w:val="94"/>
      <w:numFmt w:val="decimal"/>
      <w:lvlText w:val="%1."/>
      <w:lvlJc w:val="left"/>
      <w:pPr>
        <w:tabs>
          <w:tab w:val="num" w:pos="720"/>
        </w:tabs>
        <w:ind w:left="720" w:hanging="720"/>
      </w:pPr>
      <w:rPr>
        <w:rFonts w:ascii="Times New Roman" w:hAnsi="Times New Roman" w:cs="Times New Roman" w:hint="default"/>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 w15:restartNumberingAfterBreak="0">
    <w:nsid w:val="185A7161"/>
    <w:multiLevelType w:val="multilevel"/>
    <w:tmpl w:val="96967B70"/>
    <w:lvl w:ilvl="0">
      <w:start w:val="110"/>
      <w:numFmt w:val="decimal"/>
      <w:lvlText w:val="%1."/>
      <w:lvlJc w:val="left"/>
      <w:pPr>
        <w:tabs>
          <w:tab w:val="num" w:pos="720"/>
        </w:tabs>
        <w:ind w:left="720" w:hanging="720"/>
      </w:pPr>
      <w:rPr>
        <w:rFonts w:ascii="Times New Roman" w:hAnsi="Times New Roman" w:cs="Times New Roman" w:hint="default"/>
        <w:position w:val="0"/>
        <w:sz w:val="24"/>
        <w:szCs w:val="24"/>
      </w:rPr>
    </w:lvl>
    <w:lvl w:ilvl="1">
      <w:start w:val="1"/>
      <w:numFmt w:val="lowerLetter"/>
      <w:lvlText w:val="%2."/>
      <w:lvlJc w:val="left"/>
      <w:pPr>
        <w:tabs>
          <w:tab w:val="num" w:pos="2160"/>
        </w:tabs>
        <w:ind w:left="2160" w:hanging="360"/>
      </w:pPr>
      <w:rPr>
        <w:rFonts w:hint="default"/>
        <w:position w:val="0"/>
        <w:sz w:val="24"/>
        <w:szCs w:val="24"/>
      </w:rPr>
    </w:lvl>
    <w:lvl w:ilvl="2">
      <w:start w:val="1"/>
      <w:numFmt w:val="lowerRoman"/>
      <w:lvlText w:val="%3."/>
      <w:lvlJc w:val="left"/>
      <w:pPr>
        <w:tabs>
          <w:tab w:val="num" w:pos="2880"/>
        </w:tabs>
        <w:ind w:left="2880" w:hanging="296"/>
      </w:pPr>
      <w:rPr>
        <w:rFonts w:hint="default"/>
        <w:position w:val="0"/>
        <w:sz w:val="24"/>
        <w:szCs w:val="24"/>
      </w:rPr>
    </w:lvl>
    <w:lvl w:ilvl="3">
      <w:start w:val="1"/>
      <w:numFmt w:val="decimal"/>
      <w:lvlText w:val="%4."/>
      <w:lvlJc w:val="left"/>
      <w:pPr>
        <w:tabs>
          <w:tab w:val="num" w:pos="3600"/>
        </w:tabs>
        <w:ind w:left="3600" w:hanging="360"/>
      </w:pPr>
      <w:rPr>
        <w:rFonts w:hint="default"/>
        <w:position w:val="0"/>
        <w:sz w:val="24"/>
        <w:szCs w:val="24"/>
      </w:rPr>
    </w:lvl>
    <w:lvl w:ilvl="4">
      <w:start w:val="1"/>
      <w:numFmt w:val="lowerLetter"/>
      <w:lvlText w:val="%5."/>
      <w:lvlJc w:val="left"/>
      <w:pPr>
        <w:tabs>
          <w:tab w:val="num" w:pos="4320"/>
        </w:tabs>
        <w:ind w:left="4320" w:hanging="360"/>
      </w:pPr>
      <w:rPr>
        <w:rFonts w:hint="default"/>
        <w:position w:val="0"/>
        <w:sz w:val="24"/>
        <w:szCs w:val="24"/>
      </w:rPr>
    </w:lvl>
    <w:lvl w:ilvl="5">
      <w:start w:val="1"/>
      <w:numFmt w:val="lowerRoman"/>
      <w:lvlText w:val="%6."/>
      <w:lvlJc w:val="left"/>
      <w:pPr>
        <w:tabs>
          <w:tab w:val="num" w:pos="5040"/>
        </w:tabs>
        <w:ind w:left="5040" w:hanging="296"/>
      </w:pPr>
      <w:rPr>
        <w:rFonts w:hint="default"/>
        <w:position w:val="0"/>
        <w:sz w:val="24"/>
        <w:szCs w:val="24"/>
      </w:rPr>
    </w:lvl>
    <w:lvl w:ilvl="6">
      <w:start w:val="1"/>
      <w:numFmt w:val="decimal"/>
      <w:lvlText w:val="%7."/>
      <w:lvlJc w:val="left"/>
      <w:pPr>
        <w:tabs>
          <w:tab w:val="num" w:pos="5760"/>
        </w:tabs>
        <w:ind w:left="5760" w:hanging="360"/>
      </w:pPr>
      <w:rPr>
        <w:rFonts w:hint="default"/>
        <w:position w:val="0"/>
        <w:sz w:val="24"/>
        <w:szCs w:val="24"/>
      </w:rPr>
    </w:lvl>
    <w:lvl w:ilvl="7">
      <w:start w:val="1"/>
      <w:numFmt w:val="lowerLetter"/>
      <w:lvlText w:val="%8."/>
      <w:lvlJc w:val="left"/>
      <w:pPr>
        <w:tabs>
          <w:tab w:val="num" w:pos="6480"/>
        </w:tabs>
        <w:ind w:left="6480" w:hanging="360"/>
      </w:pPr>
      <w:rPr>
        <w:rFonts w:hint="default"/>
        <w:position w:val="0"/>
        <w:sz w:val="24"/>
        <w:szCs w:val="24"/>
      </w:rPr>
    </w:lvl>
    <w:lvl w:ilvl="8">
      <w:start w:val="1"/>
      <w:numFmt w:val="lowerRoman"/>
      <w:lvlText w:val="%9."/>
      <w:lvlJc w:val="left"/>
      <w:pPr>
        <w:tabs>
          <w:tab w:val="num" w:pos="7200"/>
        </w:tabs>
        <w:ind w:left="7200" w:hanging="296"/>
      </w:pPr>
      <w:rPr>
        <w:rFonts w:hint="default"/>
        <w:position w:val="0"/>
        <w:sz w:val="24"/>
        <w:szCs w:val="24"/>
      </w:rPr>
    </w:lvl>
  </w:abstractNum>
  <w:abstractNum w:abstractNumId="2" w15:restartNumberingAfterBreak="0">
    <w:nsid w:val="19F92439"/>
    <w:multiLevelType w:val="multilevel"/>
    <w:tmpl w:val="9A9E455A"/>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2520"/>
        </w:tabs>
        <w:ind w:left="2520" w:hanging="72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3" w15:restartNumberingAfterBreak="0">
    <w:nsid w:val="1C132A5E"/>
    <w:multiLevelType w:val="multilevel"/>
    <w:tmpl w:val="3878C4C2"/>
    <w:lvl w:ilvl="0">
      <w:start w:val="94"/>
      <w:numFmt w:val="decimal"/>
      <w:lvlText w:val="%1."/>
      <w:lvlJc w:val="left"/>
      <w:pPr>
        <w:tabs>
          <w:tab w:val="num" w:pos="720"/>
        </w:tabs>
        <w:ind w:left="720" w:hanging="720"/>
      </w:pPr>
      <w:rPr>
        <w:rFonts w:ascii="Times New Roman" w:hAnsi="Times New Roman" w:cs="Times New Roman" w:hint="default"/>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4" w15:restartNumberingAfterBreak="0">
    <w:nsid w:val="1EA845E6"/>
    <w:multiLevelType w:val="multilevel"/>
    <w:tmpl w:val="884438BE"/>
    <w:styleLink w:val="List21"/>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5" w15:restartNumberingAfterBreak="0">
    <w:nsid w:val="240F0828"/>
    <w:multiLevelType w:val="multilevel"/>
    <w:tmpl w:val="24067FC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25B4198E"/>
    <w:multiLevelType w:val="multilevel"/>
    <w:tmpl w:val="3878C4C2"/>
    <w:lvl w:ilvl="0">
      <w:start w:val="94"/>
      <w:numFmt w:val="decimal"/>
      <w:lvlText w:val="%1."/>
      <w:lvlJc w:val="left"/>
      <w:pPr>
        <w:tabs>
          <w:tab w:val="num" w:pos="720"/>
        </w:tabs>
        <w:ind w:left="720" w:hanging="720"/>
      </w:pPr>
      <w:rPr>
        <w:rFonts w:ascii="Times New Roman" w:hAnsi="Times New Roman" w:cs="Times New Roman" w:hint="default"/>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7" w15:restartNumberingAfterBreak="0">
    <w:nsid w:val="289B6B3F"/>
    <w:multiLevelType w:val="multilevel"/>
    <w:tmpl w:val="615C7134"/>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8" w15:restartNumberingAfterBreak="0">
    <w:nsid w:val="33A20F69"/>
    <w:multiLevelType w:val="multilevel"/>
    <w:tmpl w:val="AE58D9D2"/>
    <w:lvl w:ilvl="0">
      <w:start w:val="94"/>
      <w:numFmt w:val="decimal"/>
      <w:lvlText w:val="%1."/>
      <w:lvlJc w:val="left"/>
      <w:pPr>
        <w:tabs>
          <w:tab w:val="num" w:pos="720"/>
        </w:tabs>
        <w:ind w:left="720" w:hanging="720"/>
      </w:pPr>
      <w:rPr>
        <w:rFonts w:hint="default"/>
        <w:position w:val="0"/>
        <w:sz w:val="24"/>
        <w:szCs w:val="24"/>
      </w:rPr>
    </w:lvl>
    <w:lvl w:ilvl="1">
      <w:start w:val="1"/>
      <w:numFmt w:val="lowerLetter"/>
      <w:lvlText w:val="%2."/>
      <w:lvlJc w:val="left"/>
      <w:pPr>
        <w:tabs>
          <w:tab w:val="num" w:pos="2520"/>
        </w:tabs>
        <w:ind w:left="2520" w:hanging="720"/>
      </w:pPr>
      <w:rPr>
        <w:rFonts w:hint="default"/>
        <w:position w:val="0"/>
        <w:sz w:val="24"/>
        <w:szCs w:val="24"/>
      </w:rPr>
    </w:lvl>
    <w:lvl w:ilvl="2">
      <w:start w:val="1"/>
      <w:numFmt w:val="lowerRoman"/>
      <w:lvlText w:val="%3."/>
      <w:lvlJc w:val="left"/>
      <w:pPr>
        <w:tabs>
          <w:tab w:val="num" w:pos="2880"/>
        </w:tabs>
        <w:ind w:left="2880" w:hanging="296"/>
      </w:pPr>
      <w:rPr>
        <w:rFonts w:hint="default"/>
        <w:position w:val="0"/>
        <w:sz w:val="24"/>
        <w:szCs w:val="24"/>
      </w:rPr>
    </w:lvl>
    <w:lvl w:ilvl="3">
      <w:start w:val="1"/>
      <w:numFmt w:val="decimal"/>
      <w:lvlText w:val="%4."/>
      <w:lvlJc w:val="left"/>
      <w:pPr>
        <w:tabs>
          <w:tab w:val="num" w:pos="3600"/>
        </w:tabs>
        <w:ind w:left="3600" w:hanging="360"/>
      </w:pPr>
      <w:rPr>
        <w:rFonts w:hint="default"/>
        <w:position w:val="0"/>
        <w:sz w:val="24"/>
        <w:szCs w:val="24"/>
      </w:rPr>
    </w:lvl>
    <w:lvl w:ilvl="4">
      <w:start w:val="1"/>
      <w:numFmt w:val="lowerLetter"/>
      <w:lvlText w:val="%5."/>
      <w:lvlJc w:val="left"/>
      <w:pPr>
        <w:tabs>
          <w:tab w:val="num" w:pos="4320"/>
        </w:tabs>
        <w:ind w:left="4320" w:hanging="360"/>
      </w:pPr>
      <w:rPr>
        <w:rFonts w:hint="default"/>
        <w:position w:val="0"/>
        <w:sz w:val="24"/>
        <w:szCs w:val="24"/>
      </w:rPr>
    </w:lvl>
    <w:lvl w:ilvl="5">
      <w:start w:val="1"/>
      <w:numFmt w:val="lowerRoman"/>
      <w:lvlText w:val="%6."/>
      <w:lvlJc w:val="left"/>
      <w:pPr>
        <w:tabs>
          <w:tab w:val="num" w:pos="5040"/>
        </w:tabs>
        <w:ind w:left="5040" w:hanging="296"/>
      </w:pPr>
      <w:rPr>
        <w:rFonts w:hint="default"/>
        <w:position w:val="0"/>
        <w:sz w:val="24"/>
        <w:szCs w:val="24"/>
      </w:rPr>
    </w:lvl>
    <w:lvl w:ilvl="6">
      <w:start w:val="1"/>
      <w:numFmt w:val="decimal"/>
      <w:lvlText w:val="%7."/>
      <w:lvlJc w:val="left"/>
      <w:pPr>
        <w:tabs>
          <w:tab w:val="num" w:pos="5760"/>
        </w:tabs>
        <w:ind w:left="5760" w:hanging="360"/>
      </w:pPr>
      <w:rPr>
        <w:rFonts w:hint="default"/>
        <w:position w:val="0"/>
        <w:sz w:val="24"/>
        <w:szCs w:val="24"/>
      </w:rPr>
    </w:lvl>
    <w:lvl w:ilvl="7">
      <w:start w:val="1"/>
      <w:numFmt w:val="lowerLetter"/>
      <w:lvlText w:val="%8."/>
      <w:lvlJc w:val="left"/>
      <w:pPr>
        <w:tabs>
          <w:tab w:val="num" w:pos="6480"/>
        </w:tabs>
        <w:ind w:left="6480" w:hanging="360"/>
      </w:pPr>
      <w:rPr>
        <w:rFonts w:hint="default"/>
        <w:position w:val="0"/>
        <w:sz w:val="24"/>
        <w:szCs w:val="24"/>
      </w:rPr>
    </w:lvl>
    <w:lvl w:ilvl="8">
      <w:start w:val="1"/>
      <w:numFmt w:val="lowerRoman"/>
      <w:lvlText w:val="%9."/>
      <w:lvlJc w:val="left"/>
      <w:pPr>
        <w:tabs>
          <w:tab w:val="num" w:pos="7200"/>
        </w:tabs>
        <w:ind w:left="7200" w:hanging="296"/>
      </w:pPr>
      <w:rPr>
        <w:rFonts w:hint="default"/>
        <w:position w:val="0"/>
        <w:sz w:val="24"/>
        <w:szCs w:val="24"/>
      </w:rPr>
    </w:lvl>
  </w:abstractNum>
  <w:abstractNum w:abstractNumId="9" w15:restartNumberingAfterBreak="0">
    <w:nsid w:val="33E22192"/>
    <w:multiLevelType w:val="multilevel"/>
    <w:tmpl w:val="0FDCAED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4A740215"/>
    <w:multiLevelType w:val="multilevel"/>
    <w:tmpl w:val="1ED2AE78"/>
    <w:styleLink w:val="List0"/>
    <w:lvl w:ilvl="0">
      <w:start w:val="110"/>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1" w15:restartNumberingAfterBreak="0">
    <w:nsid w:val="5BE40F84"/>
    <w:multiLevelType w:val="multilevel"/>
    <w:tmpl w:val="FC4CAD2E"/>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12" w15:restartNumberingAfterBreak="0">
    <w:nsid w:val="5F145E5E"/>
    <w:multiLevelType w:val="multilevel"/>
    <w:tmpl w:val="FD16D1EE"/>
    <w:lvl w:ilvl="0">
      <w:start w:val="1"/>
      <w:numFmt w:val="decimal"/>
      <w:lvlText w:val="%1."/>
      <w:lvlJc w:val="left"/>
      <w:pPr>
        <w:tabs>
          <w:tab w:val="num" w:pos="720"/>
        </w:tabs>
        <w:ind w:left="720" w:hanging="720"/>
      </w:pPr>
      <w:rPr>
        <w:b w:val="0"/>
        <w:i w:val="0"/>
        <w:strike w:val="0"/>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3" w15:restartNumberingAfterBreak="0">
    <w:nsid w:val="797D0DB0"/>
    <w:multiLevelType w:val="multilevel"/>
    <w:tmpl w:val="790C2D82"/>
    <w:styleLink w:val="List1"/>
    <w:lvl w:ilvl="0">
      <w:start w:val="93"/>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2520"/>
        </w:tabs>
        <w:ind w:left="2520" w:hanging="72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num w:numId="1">
    <w:abstractNumId w:val="7"/>
  </w:num>
  <w:num w:numId="2">
    <w:abstractNumId w:val="5"/>
  </w:num>
  <w:num w:numId="3">
    <w:abstractNumId w:val="12"/>
  </w:num>
  <w:num w:numId="4">
    <w:abstractNumId w:val="2"/>
  </w:num>
  <w:num w:numId="5">
    <w:abstractNumId w:val="13"/>
  </w:num>
  <w:num w:numId="6">
    <w:abstractNumId w:val="3"/>
  </w:num>
  <w:num w:numId="7">
    <w:abstractNumId w:val="10"/>
  </w:num>
  <w:num w:numId="8">
    <w:abstractNumId w:val="11"/>
  </w:num>
  <w:num w:numId="9">
    <w:abstractNumId w:val="9"/>
  </w:num>
  <w:num w:numId="10">
    <w:abstractNumId w:val="4"/>
  </w:num>
  <w:num w:numId="11">
    <w:abstractNumId w:val="8"/>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spelling="clean" w:grammar="clean"/>
  <w:defaultTabStop w:val="144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C6"/>
    <w:rsid w:val="00035898"/>
    <w:rsid w:val="0004633C"/>
    <w:rsid w:val="00053F03"/>
    <w:rsid w:val="0006625B"/>
    <w:rsid w:val="0006635F"/>
    <w:rsid w:val="000828A3"/>
    <w:rsid w:val="00086665"/>
    <w:rsid w:val="00094C0A"/>
    <w:rsid w:val="000A2024"/>
    <w:rsid w:val="000C0F7A"/>
    <w:rsid w:val="000E1B12"/>
    <w:rsid w:val="000E31F2"/>
    <w:rsid w:val="000F60C2"/>
    <w:rsid w:val="001022D7"/>
    <w:rsid w:val="00111BC1"/>
    <w:rsid w:val="00127A28"/>
    <w:rsid w:val="00134326"/>
    <w:rsid w:val="00141D60"/>
    <w:rsid w:val="00141E9D"/>
    <w:rsid w:val="00144A25"/>
    <w:rsid w:val="0015702A"/>
    <w:rsid w:val="0016041C"/>
    <w:rsid w:val="00180252"/>
    <w:rsid w:val="0018618C"/>
    <w:rsid w:val="00193014"/>
    <w:rsid w:val="001B46CD"/>
    <w:rsid w:val="001B614B"/>
    <w:rsid w:val="001C6F1F"/>
    <w:rsid w:val="001D2EA7"/>
    <w:rsid w:val="001D2F37"/>
    <w:rsid w:val="001D5626"/>
    <w:rsid w:val="001D5FB4"/>
    <w:rsid w:val="001E3AEA"/>
    <w:rsid w:val="001E5923"/>
    <w:rsid w:val="001F08E9"/>
    <w:rsid w:val="00200BA7"/>
    <w:rsid w:val="002142CA"/>
    <w:rsid w:val="0022064C"/>
    <w:rsid w:val="00231FB6"/>
    <w:rsid w:val="002349C5"/>
    <w:rsid w:val="002602E1"/>
    <w:rsid w:val="00286AF8"/>
    <w:rsid w:val="002A23B2"/>
    <w:rsid w:val="002A40D1"/>
    <w:rsid w:val="002A6103"/>
    <w:rsid w:val="002A6D9E"/>
    <w:rsid w:val="002C29CB"/>
    <w:rsid w:val="002C7C1A"/>
    <w:rsid w:val="002E7223"/>
    <w:rsid w:val="002F4F16"/>
    <w:rsid w:val="002F57BC"/>
    <w:rsid w:val="002F7A0C"/>
    <w:rsid w:val="00300090"/>
    <w:rsid w:val="00306327"/>
    <w:rsid w:val="00342BEC"/>
    <w:rsid w:val="0034638A"/>
    <w:rsid w:val="00385EC6"/>
    <w:rsid w:val="003C7A8D"/>
    <w:rsid w:val="003D1B99"/>
    <w:rsid w:val="00400DB1"/>
    <w:rsid w:val="004029F8"/>
    <w:rsid w:val="004156BA"/>
    <w:rsid w:val="00420B94"/>
    <w:rsid w:val="004248F3"/>
    <w:rsid w:val="00425704"/>
    <w:rsid w:val="00440D66"/>
    <w:rsid w:val="00443395"/>
    <w:rsid w:val="00443AA9"/>
    <w:rsid w:val="00452FC2"/>
    <w:rsid w:val="004633A9"/>
    <w:rsid w:val="00473815"/>
    <w:rsid w:val="00493F9C"/>
    <w:rsid w:val="00497478"/>
    <w:rsid w:val="004D19CB"/>
    <w:rsid w:val="004D7ADF"/>
    <w:rsid w:val="004F5EEC"/>
    <w:rsid w:val="00510216"/>
    <w:rsid w:val="00530B76"/>
    <w:rsid w:val="00530E77"/>
    <w:rsid w:val="00537CB6"/>
    <w:rsid w:val="00545636"/>
    <w:rsid w:val="0055553B"/>
    <w:rsid w:val="0056562B"/>
    <w:rsid w:val="00576EDF"/>
    <w:rsid w:val="00576FE4"/>
    <w:rsid w:val="00584545"/>
    <w:rsid w:val="00585B3B"/>
    <w:rsid w:val="00592C58"/>
    <w:rsid w:val="005A52BA"/>
    <w:rsid w:val="005B3F7B"/>
    <w:rsid w:val="005C4D22"/>
    <w:rsid w:val="005D1127"/>
    <w:rsid w:val="005E36F8"/>
    <w:rsid w:val="005F1F01"/>
    <w:rsid w:val="006035EC"/>
    <w:rsid w:val="006044D2"/>
    <w:rsid w:val="00605429"/>
    <w:rsid w:val="00613D1E"/>
    <w:rsid w:val="0061453F"/>
    <w:rsid w:val="00633D69"/>
    <w:rsid w:val="00642456"/>
    <w:rsid w:val="00645389"/>
    <w:rsid w:val="0064745D"/>
    <w:rsid w:val="00655D9A"/>
    <w:rsid w:val="00670A5F"/>
    <w:rsid w:val="006718C5"/>
    <w:rsid w:val="00692A15"/>
    <w:rsid w:val="006C2E65"/>
    <w:rsid w:val="006E6B11"/>
    <w:rsid w:val="007143FB"/>
    <w:rsid w:val="00721DE3"/>
    <w:rsid w:val="0072393F"/>
    <w:rsid w:val="00735477"/>
    <w:rsid w:val="00747303"/>
    <w:rsid w:val="007558B2"/>
    <w:rsid w:val="0076159C"/>
    <w:rsid w:val="007A3F02"/>
    <w:rsid w:val="007A5FFA"/>
    <w:rsid w:val="007C3C6B"/>
    <w:rsid w:val="007C654F"/>
    <w:rsid w:val="007C7616"/>
    <w:rsid w:val="007D554B"/>
    <w:rsid w:val="008114DC"/>
    <w:rsid w:val="00841ACF"/>
    <w:rsid w:val="00843F00"/>
    <w:rsid w:val="0085212A"/>
    <w:rsid w:val="008677AC"/>
    <w:rsid w:val="00870FAF"/>
    <w:rsid w:val="00896219"/>
    <w:rsid w:val="008E6263"/>
    <w:rsid w:val="008F1904"/>
    <w:rsid w:val="008F2A12"/>
    <w:rsid w:val="009019A7"/>
    <w:rsid w:val="00917F22"/>
    <w:rsid w:val="0093212B"/>
    <w:rsid w:val="00932F9C"/>
    <w:rsid w:val="00967489"/>
    <w:rsid w:val="00971EBD"/>
    <w:rsid w:val="00975FDF"/>
    <w:rsid w:val="00983DAB"/>
    <w:rsid w:val="0099423F"/>
    <w:rsid w:val="009B7B7E"/>
    <w:rsid w:val="009C093A"/>
    <w:rsid w:val="009C113F"/>
    <w:rsid w:val="009C2B9C"/>
    <w:rsid w:val="009D676F"/>
    <w:rsid w:val="00A1046C"/>
    <w:rsid w:val="00A16ABA"/>
    <w:rsid w:val="00A33166"/>
    <w:rsid w:val="00A509BA"/>
    <w:rsid w:val="00A513F0"/>
    <w:rsid w:val="00A92746"/>
    <w:rsid w:val="00AA066B"/>
    <w:rsid w:val="00AB4B33"/>
    <w:rsid w:val="00AC059B"/>
    <w:rsid w:val="00AC57B7"/>
    <w:rsid w:val="00AE42A9"/>
    <w:rsid w:val="00AF0206"/>
    <w:rsid w:val="00B0209A"/>
    <w:rsid w:val="00B02946"/>
    <w:rsid w:val="00B070FE"/>
    <w:rsid w:val="00B30FB9"/>
    <w:rsid w:val="00B41E05"/>
    <w:rsid w:val="00B615C8"/>
    <w:rsid w:val="00B62E8B"/>
    <w:rsid w:val="00B75541"/>
    <w:rsid w:val="00B83FC5"/>
    <w:rsid w:val="00B85364"/>
    <w:rsid w:val="00BA2EDC"/>
    <w:rsid w:val="00BA4AFD"/>
    <w:rsid w:val="00BB7AE3"/>
    <w:rsid w:val="00BC2C16"/>
    <w:rsid w:val="00BC5682"/>
    <w:rsid w:val="00BC6619"/>
    <w:rsid w:val="00C15B27"/>
    <w:rsid w:val="00C16096"/>
    <w:rsid w:val="00C209AC"/>
    <w:rsid w:val="00C25F7C"/>
    <w:rsid w:val="00C27A4B"/>
    <w:rsid w:val="00C43D6D"/>
    <w:rsid w:val="00C47253"/>
    <w:rsid w:val="00C52FFE"/>
    <w:rsid w:val="00C53199"/>
    <w:rsid w:val="00C67AF2"/>
    <w:rsid w:val="00C728FE"/>
    <w:rsid w:val="00C85A9F"/>
    <w:rsid w:val="00C87868"/>
    <w:rsid w:val="00CB3134"/>
    <w:rsid w:val="00CD0A7F"/>
    <w:rsid w:val="00CE1C04"/>
    <w:rsid w:val="00CE38F6"/>
    <w:rsid w:val="00CF629F"/>
    <w:rsid w:val="00CF7913"/>
    <w:rsid w:val="00D178B2"/>
    <w:rsid w:val="00D2288F"/>
    <w:rsid w:val="00D6207C"/>
    <w:rsid w:val="00D80320"/>
    <w:rsid w:val="00D8391F"/>
    <w:rsid w:val="00D94ED4"/>
    <w:rsid w:val="00DA3430"/>
    <w:rsid w:val="00DB0075"/>
    <w:rsid w:val="00DC43D1"/>
    <w:rsid w:val="00DC7155"/>
    <w:rsid w:val="00DC74DB"/>
    <w:rsid w:val="00DE289C"/>
    <w:rsid w:val="00E07251"/>
    <w:rsid w:val="00E30DB8"/>
    <w:rsid w:val="00E312DE"/>
    <w:rsid w:val="00E4145D"/>
    <w:rsid w:val="00E60EAD"/>
    <w:rsid w:val="00E63250"/>
    <w:rsid w:val="00E70864"/>
    <w:rsid w:val="00E8101E"/>
    <w:rsid w:val="00E829ED"/>
    <w:rsid w:val="00E95FBF"/>
    <w:rsid w:val="00E966E6"/>
    <w:rsid w:val="00EA7F95"/>
    <w:rsid w:val="00EC0B10"/>
    <w:rsid w:val="00EF7A76"/>
    <w:rsid w:val="00F20BBC"/>
    <w:rsid w:val="00F20C94"/>
    <w:rsid w:val="00F471B2"/>
    <w:rsid w:val="00F53056"/>
    <w:rsid w:val="00F56418"/>
    <w:rsid w:val="00F70076"/>
    <w:rsid w:val="00F72CDF"/>
    <w:rsid w:val="00F7624C"/>
    <w:rsid w:val="00FA4787"/>
    <w:rsid w:val="00FB160A"/>
    <w:rsid w:val="00FC1429"/>
    <w:rsid w:val="00FC42DC"/>
    <w:rsid w:val="00FD17CB"/>
    <w:rsid w:val="00FE5829"/>
    <w:rsid w:val="00FE6D94"/>
    <w:rsid w:val="00FE6D95"/>
    <w:rsid w:val="00FF47B3"/>
    <w:rsid w:val="00FF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1D38"/>
  <w15:docId w15:val="{DE70A3E4-7EBE-4D7E-A298-8149C3ED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7"/>
      </w:numPr>
    </w:pPr>
  </w:style>
  <w:style w:type="numbering" w:customStyle="1" w:styleId="ImportedStyle1">
    <w:name w:val="Imported Style 1"/>
  </w:style>
  <w:style w:type="paragraph" w:styleId="FootnoteText">
    <w:name w:val="footnote text"/>
    <w:rPr>
      <w:rFonts w:ascii="Calibri" w:eastAsia="Calibri" w:hAnsi="Calibri" w:cs="Calibri"/>
      <w:color w:val="000000"/>
      <w:u w:color="000000"/>
    </w:rPr>
  </w:style>
  <w:style w:type="numbering" w:customStyle="1" w:styleId="List1">
    <w:name w:val="List 1"/>
    <w:basedOn w:val="ImportedStyle1"/>
    <w:pPr>
      <w:numPr>
        <w:numId w:val="5"/>
      </w:numPr>
    </w:pPr>
  </w:style>
  <w:style w:type="numbering" w:customStyle="1" w:styleId="List21">
    <w:name w:val="List 21"/>
    <w:basedOn w:val="ImportedStyle2"/>
    <w:pPr>
      <w:numPr>
        <w:numId w:val="10"/>
      </w:numPr>
    </w:pPr>
  </w:style>
  <w:style w:type="numbering" w:customStyle="1" w:styleId="ImportedStyle2">
    <w:name w:val="Imported Style 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7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2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3F02"/>
    <w:rPr>
      <w:b/>
      <w:bCs/>
    </w:rPr>
  </w:style>
  <w:style w:type="character" w:customStyle="1" w:styleId="CommentSubjectChar">
    <w:name w:val="Comment Subject Char"/>
    <w:basedOn w:val="CommentTextChar"/>
    <w:link w:val="CommentSubject"/>
    <w:uiPriority w:val="99"/>
    <w:semiHidden/>
    <w:rsid w:val="007A3F02"/>
    <w:rPr>
      <w:b/>
      <w:bCs/>
    </w:rPr>
  </w:style>
  <w:style w:type="paragraph" w:styleId="Revision">
    <w:name w:val="Revision"/>
    <w:hidden/>
    <w:uiPriority w:val="99"/>
    <w:semiHidden/>
    <w:rsid w:val="00D6207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FF47B3"/>
    <w:pPr>
      <w:tabs>
        <w:tab w:val="center" w:pos="4680"/>
        <w:tab w:val="right" w:pos="9360"/>
      </w:tabs>
    </w:pPr>
  </w:style>
  <w:style w:type="character" w:customStyle="1" w:styleId="HeaderChar">
    <w:name w:val="Header Char"/>
    <w:basedOn w:val="DefaultParagraphFont"/>
    <w:link w:val="Header"/>
    <w:uiPriority w:val="99"/>
    <w:rsid w:val="00FF47B3"/>
    <w:rPr>
      <w:sz w:val="24"/>
      <w:szCs w:val="24"/>
    </w:rPr>
  </w:style>
  <w:style w:type="paragraph" w:styleId="ListParagraph">
    <w:name w:val="List Paragraph"/>
    <w:basedOn w:val="Normal"/>
    <w:uiPriority w:val="34"/>
    <w:qFormat/>
    <w:rsid w:val="00493F9C"/>
    <w:pPr>
      <w:ind w:left="720"/>
      <w:contextualSpacing/>
    </w:pPr>
  </w:style>
  <w:style w:type="character" w:styleId="FootnoteReference">
    <w:name w:val="footnote reference"/>
    <w:basedOn w:val="DefaultParagraphFont"/>
    <w:uiPriority w:val="99"/>
    <w:semiHidden/>
    <w:unhideWhenUsed/>
    <w:rsid w:val="00231FB6"/>
    <w:rPr>
      <w:vertAlign w:val="superscript"/>
    </w:rPr>
  </w:style>
  <w:style w:type="character" w:styleId="FollowedHyperlink">
    <w:name w:val="FollowedHyperlink"/>
    <w:basedOn w:val="DefaultParagraphFont"/>
    <w:uiPriority w:val="99"/>
    <w:semiHidden/>
    <w:unhideWhenUsed/>
    <w:rsid w:val="00A3316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tizensforethic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zensforethics.org/hcsc-lobbyist-unmasked-as-american-action-network-dono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9F2F-1A17-4101-8E94-0B2FFD08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7625</Words>
  <Characters>43466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Citizens for Responsibility and Ethics in Washington</Company>
  <LinksUpToDate>false</LinksUpToDate>
  <CharactersWithSpaces>50990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McPhail</dc:creator>
  <cp:lastModifiedBy>Stuart McPhail</cp:lastModifiedBy>
  <cp:revision>9</cp:revision>
  <cp:lastPrinted>2016-11-04T23:53:00Z</cp:lastPrinted>
  <dcterms:created xsi:type="dcterms:W3CDTF">2016-11-08T19:36:00Z</dcterms:created>
  <dcterms:modified xsi:type="dcterms:W3CDTF">2016-11-09T20:59:00Z</dcterms:modified>
</cp:coreProperties>
</file>