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53BC" w14:textId="77777777" w:rsidR="00E12CB4" w:rsidRPr="00FE18C7" w:rsidRDefault="00E12CB4" w:rsidP="00E12CB4">
      <w:pPr>
        <w:tabs>
          <w:tab w:val="left" w:pos="1440"/>
        </w:tabs>
        <w:jc w:val="center"/>
        <w:rPr>
          <w:b/>
          <w:szCs w:val="24"/>
        </w:rPr>
      </w:pPr>
      <w:r w:rsidRPr="00FE18C7">
        <w:rPr>
          <w:b/>
          <w:szCs w:val="24"/>
        </w:rPr>
        <w:t xml:space="preserve">UNITED STATES DISTRICT COURT </w:t>
      </w:r>
    </w:p>
    <w:p w14:paraId="753226B0" w14:textId="77777777" w:rsidR="00E12CB4" w:rsidRPr="006F17BB" w:rsidRDefault="00E12CB4" w:rsidP="00E12CB4">
      <w:pPr>
        <w:jc w:val="center"/>
        <w:rPr>
          <w:b/>
          <w:szCs w:val="24"/>
        </w:rPr>
      </w:pPr>
      <w:r w:rsidRPr="006F17BB">
        <w:rPr>
          <w:b/>
          <w:szCs w:val="24"/>
        </w:rPr>
        <w:t xml:space="preserve">FOR THE DISTRICT OF COLUMBIA </w:t>
      </w:r>
    </w:p>
    <w:p w14:paraId="20033483" w14:textId="77777777" w:rsidR="00E12CB4" w:rsidRPr="006F17BB" w:rsidRDefault="00E12CB4" w:rsidP="00E12CB4">
      <w:pPr>
        <w:jc w:val="center"/>
        <w:rPr>
          <w:szCs w:val="24"/>
        </w:rPr>
      </w:pPr>
    </w:p>
    <w:p w14:paraId="360241C2" w14:textId="77777777" w:rsidR="00E12CB4" w:rsidRPr="006F17BB" w:rsidRDefault="00E12CB4" w:rsidP="00E12CB4">
      <w:pPr>
        <w:rPr>
          <w:szCs w:val="24"/>
        </w:rPr>
      </w:pPr>
      <w:r w:rsidRPr="006F17BB">
        <w:rPr>
          <w:szCs w:val="24"/>
        </w:rPr>
        <w:t>_________</w:t>
      </w:r>
      <w:r w:rsidR="00F301A2" w:rsidRPr="006F17BB">
        <w:rPr>
          <w:szCs w:val="24"/>
        </w:rPr>
        <w:t>_______</w:t>
      </w:r>
      <w:r w:rsidRPr="006F17BB">
        <w:rPr>
          <w:szCs w:val="24"/>
        </w:rPr>
        <w:t>_________________________</w:t>
      </w:r>
      <w:r w:rsidR="00F301A2" w:rsidRPr="006F17BB">
        <w:rPr>
          <w:szCs w:val="24"/>
        </w:rPr>
        <w:t>_</w:t>
      </w:r>
      <w:r w:rsidRPr="006F17BB">
        <w:rPr>
          <w:szCs w:val="24"/>
        </w:rPr>
        <w:tab/>
      </w:r>
      <w:r w:rsidRPr="006F17BB">
        <w:rPr>
          <w:szCs w:val="24"/>
        </w:rPr>
        <w:tab/>
      </w:r>
      <w:r w:rsidRPr="006F17BB">
        <w:rPr>
          <w:szCs w:val="24"/>
        </w:rPr>
        <w:tab/>
      </w:r>
      <w:r w:rsidRPr="006F17BB">
        <w:rPr>
          <w:szCs w:val="24"/>
        </w:rPr>
        <w:tab/>
      </w:r>
      <w:r w:rsidRPr="006F17BB">
        <w:rPr>
          <w:szCs w:val="24"/>
        </w:rPr>
        <w:tab/>
      </w:r>
      <w:r w:rsidRPr="006F17BB">
        <w:rPr>
          <w:szCs w:val="24"/>
        </w:rPr>
        <w:tab/>
      </w:r>
    </w:p>
    <w:p w14:paraId="0FA183D9" w14:textId="77777777" w:rsidR="00E12CB4" w:rsidRPr="006F17BB" w:rsidRDefault="00F301A2" w:rsidP="00E12CB4">
      <w:pPr>
        <w:rPr>
          <w:szCs w:val="24"/>
        </w:rPr>
      </w:pPr>
      <w:r w:rsidRPr="006F17BB">
        <w:rPr>
          <w:szCs w:val="24"/>
        </w:rPr>
        <w:tab/>
      </w:r>
      <w:r w:rsidRPr="006F17BB">
        <w:rPr>
          <w:szCs w:val="24"/>
        </w:rPr>
        <w:tab/>
      </w:r>
      <w:r w:rsidRPr="006F17BB">
        <w:rPr>
          <w:szCs w:val="24"/>
        </w:rPr>
        <w:tab/>
      </w:r>
      <w:r w:rsidRPr="006F17BB">
        <w:rPr>
          <w:szCs w:val="24"/>
        </w:rPr>
        <w:tab/>
      </w:r>
      <w:r w:rsidRPr="006F17BB">
        <w:rPr>
          <w:szCs w:val="24"/>
        </w:rPr>
        <w:tab/>
      </w:r>
      <w:r w:rsidRPr="006F17BB">
        <w:rPr>
          <w:szCs w:val="24"/>
        </w:rPr>
        <w:tab/>
      </w:r>
      <w:r w:rsidRPr="006F17BB">
        <w:rPr>
          <w:szCs w:val="24"/>
        </w:rPr>
        <w:tab/>
        <w:t>)</w:t>
      </w:r>
    </w:p>
    <w:p w14:paraId="424BE38A" w14:textId="09478B9B" w:rsidR="00E12CB4" w:rsidRPr="006F17BB" w:rsidRDefault="0048095B" w:rsidP="00E12CB4">
      <w:pPr>
        <w:rPr>
          <w:szCs w:val="24"/>
        </w:rPr>
      </w:pPr>
      <w:r w:rsidRPr="006F17BB">
        <w:rPr>
          <w:szCs w:val="24"/>
        </w:rPr>
        <w:t>CITIZENS FOR RESPONSIBILITY AND</w:t>
      </w:r>
      <w:r w:rsidR="00BB72F2" w:rsidRPr="006F17BB">
        <w:rPr>
          <w:szCs w:val="24"/>
        </w:rPr>
        <w:tab/>
      </w:r>
      <w:r w:rsidR="00BB72F2" w:rsidRPr="006F17BB">
        <w:rPr>
          <w:szCs w:val="24"/>
        </w:rPr>
        <w:tab/>
      </w:r>
      <w:proofErr w:type="gramStart"/>
      <w:r w:rsidR="00E12CB4" w:rsidRPr="006F17BB">
        <w:rPr>
          <w:szCs w:val="24"/>
        </w:rPr>
        <w:t>)</w:t>
      </w:r>
      <w:proofErr w:type="gramEnd"/>
      <w:r w:rsidRPr="006F17BB">
        <w:rPr>
          <w:szCs w:val="24"/>
        </w:rPr>
        <w:br/>
        <w:t xml:space="preserve">ETHICS IN WASHINGTON, </w:t>
      </w:r>
      <w:r w:rsidRPr="006F17BB">
        <w:rPr>
          <w:i/>
          <w:szCs w:val="24"/>
        </w:rPr>
        <w:t>et al.</w:t>
      </w:r>
      <w:r w:rsidRPr="006F17BB">
        <w:rPr>
          <w:szCs w:val="24"/>
        </w:rPr>
        <w:t>,</w:t>
      </w:r>
      <w:r w:rsidRPr="006F17BB">
        <w:rPr>
          <w:szCs w:val="24"/>
        </w:rPr>
        <w:tab/>
      </w:r>
      <w:r w:rsidRPr="006F17BB">
        <w:rPr>
          <w:szCs w:val="24"/>
        </w:rPr>
        <w:tab/>
      </w:r>
      <w:r w:rsidRPr="006F17BB">
        <w:rPr>
          <w:szCs w:val="24"/>
        </w:rPr>
        <w:tab/>
        <w:t>)</w:t>
      </w:r>
    </w:p>
    <w:p w14:paraId="7464F873" w14:textId="77777777" w:rsidR="00E12CB4" w:rsidRPr="006F17BB" w:rsidRDefault="00E12CB4" w:rsidP="00E12CB4">
      <w:pPr>
        <w:ind w:left="1440" w:firstLine="720"/>
        <w:rPr>
          <w:szCs w:val="24"/>
        </w:rPr>
      </w:pPr>
      <w:r w:rsidRPr="006F17BB">
        <w:rPr>
          <w:szCs w:val="24"/>
        </w:rPr>
        <w:tab/>
      </w:r>
      <w:r w:rsidRPr="006F17BB">
        <w:rPr>
          <w:szCs w:val="24"/>
        </w:rPr>
        <w:tab/>
      </w:r>
      <w:r w:rsidRPr="006F17BB">
        <w:rPr>
          <w:szCs w:val="24"/>
        </w:rPr>
        <w:tab/>
      </w:r>
      <w:r w:rsidR="00F301A2" w:rsidRPr="006F17BB">
        <w:rPr>
          <w:szCs w:val="24"/>
        </w:rPr>
        <w:tab/>
      </w:r>
      <w:r w:rsidRPr="006F17BB">
        <w:rPr>
          <w:szCs w:val="24"/>
        </w:rPr>
        <w:t xml:space="preserve">) </w:t>
      </w:r>
      <w:r w:rsidRPr="006F17BB">
        <w:rPr>
          <w:szCs w:val="24"/>
        </w:rPr>
        <w:tab/>
      </w:r>
    </w:p>
    <w:p w14:paraId="609C5361" w14:textId="3B9167A1" w:rsidR="00E12CB4" w:rsidRPr="006F17BB" w:rsidRDefault="00E12CB4" w:rsidP="00E12CB4">
      <w:pPr>
        <w:rPr>
          <w:szCs w:val="24"/>
        </w:rPr>
      </w:pPr>
      <w:r w:rsidRPr="006F17BB">
        <w:rPr>
          <w:szCs w:val="24"/>
        </w:rPr>
        <w:tab/>
      </w:r>
      <w:r w:rsidRPr="006F17BB">
        <w:rPr>
          <w:szCs w:val="24"/>
        </w:rPr>
        <w:tab/>
        <w:t>Plaintiff</w:t>
      </w:r>
      <w:r w:rsidR="00B44708" w:rsidRPr="006F17BB">
        <w:rPr>
          <w:szCs w:val="24"/>
        </w:rPr>
        <w:t>s</w:t>
      </w:r>
      <w:r w:rsidRPr="006F17BB">
        <w:rPr>
          <w:szCs w:val="24"/>
        </w:rPr>
        <w:t xml:space="preserve">, </w:t>
      </w:r>
      <w:r w:rsidRPr="006F17BB">
        <w:rPr>
          <w:szCs w:val="24"/>
        </w:rPr>
        <w:tab/>
      </w:r>
      <w:r w:rsidRPr="006F17BB">
        <w:rPr>
          <w:szCs w:val="24"/>
        </w:rPr>
        <w:tab/>
      </w:r>
      <w:r w:rsidR="00F301A2" w:rsidRPr="006F17BB">
        <w:rPr>
          <w:szCs w:val="24"/>
        </w:rPr>
        <w:tab/>
      </w:r>
      <w:r w:rsidRPr="006F17BB">
        <w:rPr>
          <w:szCs w:val="24"/>
        </w:rPr>
        <w:tab/>
        <w:t>)</w:t>
      </w:r>
      <w:r w:rsidR="00F301A2" w:rsidRPr="006F17BB">
        <w:rPr>
          <w:szCs w:val="24"/>
        </w:rPr>
        <w:tab/>
        <w:t>Civil Action No. 14</w:t>
      </w:r>
      <w:r w:rsidR="002224EC" w:rsidRPr="006F17BB">
        <w:rPr>
          <w:szCs w:val="24"/>
        </w:rPr>
        <w:t>-</w:t>
      </w:r>
      <w:r w:rsidR="0048095B" w:rsidRPr="006F17BB">
        <w:rPr>
          <w:szCs w:val="24"/>
        </w:rPr>
        <w:t>1419</w:t>
      </w:r>
      <w:r w:rsidR="002224EC" w:rsidRPr="006F17BB">
        <w:rPr>
          <w:szCs w:val="24"/>
        </w:rPr>
        <w:t xml:space="preserve"> (</w:t>
      </w:r>
      <w:r w:rsidR="0048095B" w:rsidRPr="006F17BB">
        <w:rPr>
          <w:szCs w:val="24"/>
        </w:rPr>
        <w:t>CRC</w:t>
      </w:r>
      <w:r w:rsidR="002224EC" w:rsidRPr="006F17BB">
        <w:rPr>
          <w:szCs w:val="24"/>
        </w:rPr>
        <w:t>)</w:t>
      </w:r>
    </w:p>
    <w:p w14:paraId="683796F6" w14:textId="77777777" w:rsidR="00E12CB4" w:rsidRPr="006F17BB" w:rsidRDefault="00E12CB4" w:rsidP="00E12CB4">
      <w:pPr>
        <w:rPr>
          <w:szCs w:val="24"/>
        </w:rPr>
      </w:pPr>
      <w:r w:rsidRPr="006F17BB">
        <w:rPr>
          <w:szCs w:val="24"/>
        </w:rPr>
        <w:tab/>
      </w:r>
      <w:r w:rsidRPr="006F17BB">
        <w:rPr>
          <w:szCs w:val="24"/>
        </w:rPr>
        <w:tab/>
      </w:r>
      <w:r w:rsidRPr="006F17BB">
        <w:rPr>
          <w:szCs w:val="24"/>
        </w:rPr>
        <w:tab/>
      </w:r>
      <w:r w:rsidRPr="006F17BB">
        <w:rPr>
          <w:szCs w:val="24"/>
        </w:rPr>
        <w:tab/>
      </w:r>
      <w:r w:rsidRPr="006F17BB">
        <w:rPr>
          <w:szCs w:val="24"/>
        </w:rPr>
        <w:tab/>
      </w:r>
      <w:r w:rsidRPr="006F17BB">
        <w:rPr>
          <w:szCs w:val="24"/>
        </w:rPr>
        <w:tab/>
      </w:r>
      <w:r w:rsidR="00F301A2" w:rsidRPr="006F17BB">
        <w:rPr>
          <w:szCs w:val="24"/>
        </w:rPr>
        <w:tab/>
      </w:r>
      <w:r w:rsidRPr="006F17BB">
        <w:rPr>
          <w:szCs w:val="24"/>
        </w:rPr>
        <w:t>)</w:t>
      </w:r>
    </w:p>
    <w:p w14:paraId="37A75CB2" w14:textId="77777777" w:rsidR="00E12CB4" w:rsidRPr="006F17BB" w:rsidRDefault="00E87E6A" w:rsidP="00E12CB4">
      <w:pPr>
        <w:rPr>
          <w:szCs w:val="24"/>
        </w:rPr>
      </w:pPr>
      <w:r w:rsidRPr="006F17BB">
        <w:rPr>
          <w:szCs w:val="24"/>
        </w:rPr>
        <w:tab/>
      </w:r>
      <w:proofErr w:type="gramStart"/>
      <w:r w:rsidRPr="006F17BB">
        <w:rPr>
          <w:szCs w:val="24"/>
        </w:rPr>
        <w:t>v</w:t>
      </w:r>
      <w:proofErr w:type="gramEnd"/>
      <w:r w:rsidRPr="006F17BB">
        <w:rPr>
          <w:szCs w:val="24"/>
        </w:rPr>
        <w:t xml:space="preserve">. </w:t>
      </w:r>
      <w:r w:rsidRPr="006F17BB">
        <w:rPr>
          <w:szCs w:val="24"/>
        </w:rPr>
        <w:tab/>
      </w:r>
      <w:r w:rsidRPr="006F17BB">
        <w:rPr>
          <w:szCs w:val="24"/>
        </w:rPr>
        <w:tab/>
      </w:r>
      <w:r w:rsidRPr="006F17BB">
        <w:rPr>
          <w:szCs w:val="24"/>
        </w:rPr>
        <w:tab/>
      </w:r>
      <w:r w:rsidRPr="006F17BB">
        <w:rPr>
          <w:szCs w:val="24"/>
        </w:rPr>
        <w:tab/>
      </w:r>
      <w:r w:rsidR="00F301A2" w:rsidRPr="006F17BB">
        <w:rPr>
          <w:szCs w:val="24"/>
        </w:rPr>
        <w:tab/>
      </w:r>
      <w:r w:rsidRPr="006F17BB">
        <w:rPr>
          <w:szCs w:val="24"/>
        </w:rPr>
        <w:tab/>
        <w:t>)</w:t>
      </w:r>
      <w:r w:rsidRPr="006F17BB">
        <w:rPr>
          <w:szCs w:val="24"/>
        </w:rPr>
        <w:tab/>
      </w:r>
      <w:r w:rsidR="00E12CB4" w:rsidRPr="006F17BB">
        <w:rPr>
          <w:szCs w:val="24"/>
        </w:rPr>
        <w:tab/>
      </w:r>
    </w:p>
    <w:p w14:paraId="2A9BDFC6" w14:textId="77777777" w:rsidR="00E12CB4" w:rsidRPr="006F17BB" w:rsidRDefault="00E12CB4" w:rsidP="00E12CB4">
      <w:pPr>
        <w:rPr>
          <w:szCs w:val="24"/>
        </w:rPr>
      </w:pPr>
      <w:r w:rsidRPr="006F17BB">
        <w:rPr>
          <w:szCs w:val="24"/>
        </w:rPr>
        <w:tab/>
      </w:r>
      <w:r w:rsidRPr="006F17BB">
        <w:rPr>
          <w:szCs w:val="24"/>
        </w:rPr>
        <w:tab/>
      </w:r>
      <w:r w:rsidRPr="006F17BB">
        <w:rPr>
          <w:szCs w:val="24"/>
        </w:rPr>
        <w:tab/>
      </w:r>
      <w:r w:rsidRPr="006F17BB">
        <w:rPr>
          <w:szCs w:val="24"/>
        </w:rPr>
        <w:tab/>
      </w:r>
      <w:r w:rsidRPr="006F17BB">
        <w:rPr>
          <w:szCs w:val="24"/>
        </w:rPr>
        <w:tab/>
      </w:r>
      <w:r w:rsidR="00F301A2" w:rsidRPr="006F17BB">
        <w:rPr>
          <w:szCs w:val="24"/>
        </w:rPr>
        <w:tab/>
      </w:r>
      <w:r w:rsidRPr="006F17BB">
        <w:rPr>
          <w:szCs w:val="24"/>
        </w:rPr>
        <w:tab/>
        <w:t>)</w:t>
      </w:r>
      <w:r w:rsidRPr="006F17BB">
        <w:rPr>
          <w:szCs w:val="24"/>
        </w:rPr>
        <w:tab/>
        <w:t xml:space="preserve"> </w:t>
      </w:r>
    </w:p>
    <w:p w14:paraId="38E470DE" w14:textId="518E4E70" w:rsidR="00BB72F2" w:rsidRPr="006F17BB" w:rsidRDefault="00E12CB4" w:rsidP="00E12CB4">
      <w:pPr>
        <w:rPr>
          <w:szCs w:val="24"/>
        </w:rPr>
      </w:pPr>
      <w:r w:rsidRPr="006F17BB">
        <w:rPr>
          <w:szCs w:val="24"/>
        </w:rPr>
        <w:t>FEDERAL ELECTION COMMISSION,</w:t>
      </w:r>
      <w:r w:rsidR="00F301A2" w:rsidRPr="006F17BB">
        <w:rPr>
          <w:szCs w:val="24"/>
        </w:rPr>
        <w:tab/>
      </w:r>
      <w:r w:rsidR="00525ED0" w:rsidRPr="006F17BB">
        <w:rPr>
          <w:szCs w:val="24"/>
        </w:rPr>
        <w:tab/>
        <w:t>)</w:t>
      </w:r>
      <w:r w:rsidR="00525ED0" w:rsidRPr="006F17BB">
        <w:rPr>
          <w:szCs w:val="24"/>
        </w:rPr>
        <w:tab/>
      </w:r>
    </w:p>
    <w:p w14:paraId="2ECAC87F" w14:textId="5B63F47B" w:rsidR="00E12CB4" w:rsidRPr="006F17BB" w:rsidRDefault="00E12CB4" w:rsidP="00E12CB4">
      <w:pPr>
        <w:rPr>
          <w:szCs w:val="24"/>
        </w:rPr>
      </w:pPr>
      <w:r w:rsidRPr="006F17BB">
        <w:rPr>
          <w:szCs w:val="24"/>
        </w:rPr>
        <w:tab/>
      </w:r>
      <w:r w:rsidRPr="006F17BB">
        <w:rPr>
          <w:szCs w:val="24"/>
        </w:rPr>
        <w:tab/>
      </w:r>
      <w:r w:rsidRPr="006F17BB">
        <w:rPr>
          <w:szCs w:val="24"/>
        </w:rPr>
        <w:tab/>
      </w:r>
      <w:r w:rsidRPr="006F17BB">
        <w:rPr>
          <w:szCs w:val="24"/>
        </w:rPr>
        <w:tab/>
      </w:r>
      <w:r w:rsidRPr="006F17BB">
        <w:rPr>
          <w:szCs w:val="24"/>
        </w:rPr>
        <w:tab/>
      </w:r>
      <w:r w:rsidR="00F301A2" w:rsidRPr="006F17BB">
        <w:rPr>
          <w:szCs w:val="24"/>
        </w:rPr>
        <w:tab/>
      </w:r>
      <w:r w:rsidRPr="006F17BB">
        <w:rPr>
          <w:szCs w:val="24"/>
        </w:rPr>
        <w:tab/>
        <w:t>)</w:t>
      </w:r>
      <w:r w:rsidR="00525ED0" w:rsidRPr="006F17BB">
        <w:rPr>
          <w:szCs w:val="24"/>
        </w:rPr>
        <w:tab/>
      </w:r>
    </w:p>
    <w:p w14:paraId="347A6D6E" w14:textId="77777777" w:rsidR="00BB72F2" w:rsidRPr="006F17BB" w:rsidRDefault="00BB72F2" w:rsidP="00E12CB4">
      <w:pPr>
        <w:rPr>
          <w:szCs w:val="24"/>
        </w:rPr>
      </w:pPr>
      <w:r w:rsidRPr="006F17BB">
        <w:rPr>
          <w:szCs w:val="24"/>
        </w:rPr>
        <w:tab/>
      </w:r>
      <w:r w:rsidRPr="006F17BB">
        <w:rPr>
          <w:szCs w:val="24"/>
        </w:rPr>
        <w:tab/>
        <w:t>Defendant,</w:t>
      </w:r>
      <w:r w:rsidRPr="006F17BB">
        <w:rPr>
          <w:szCs w:val="24"/>
        </w:rPr>
        <w:tab/>
      </w:r>
      <w:r w:rsidRPr="006F17BB">
        <w:rPr>
          <w:szCs w:val="24"/>
        </w:rPr>
        <w:tab/>
      </w:r>
      <w:r w:rsidRPr="006F17BB">
        <w:rPr>
          <w:szCs w:val="24"/>
        </w:rPr>
        <w:tab/>
      </w:r>
      <w:r w:rsidRPr="006F17BB">
        <w:rPr>
          <w:szCs w:val="24"/>
        </w:rPr>
        <w:tab/>
        <w:t>)</w:t>
      </w:r>
    </w:p>
    <w:p w14:paraId="57C4DEC4" w14:textId="77777777" w:rsidR="00BB72F2" w:rsidRPr="006F17BB" w:rsidRDefault="00BB72F2" w:rsidP="00BB72F2">
      <w:pPr>
        <w:ind w:left="4320" w:firstLine="720"/>
        <w:rPr>
          <w:szCs w:val="24"/>
        </w:rPr>
      </w:pPr>
      <w:r w:rsidRPr="006F17BB">
        <w:rPr>
          <w:szCs w:val="24"/>
        </w:rPr>
        <w:t>)</w:t>
      </w:r>
    </w:p>
    <w:p w14:paraId="20D7E03B" w14:textId="4C02C02B" w:rsidR="00BB72F2" w:rsidRPr="006F17BB" w:rsidRDefault="0048095B" w:rsidP="00E12CB4">
      <w:pPr>
        <w:rPr>
          <w:szCs w:val="24"/>
        </w:rPr>
      </w:pPr>
      <w:r w:rsidRPr="006F17BB">
        <w:rPr>
          <w:szCs w:val="24"/>
        </w:rPr>
        <w:t>AMERICAN ACTION NETWORK</w:t>
      </w:r>
      <w:r w:rsidR="004A0CCE">
        <w:rPr>
          <w:szCs w:val="24"/>
        </w:rPr>
        <w:t>,</w:t>
      </w:r>
      <w:r w:rsidR="00BB72F2" w:rsidRPr="006F17BB">
        <w:rPr>
          <w:szCs w:val="24"/>
        </w:rPr>
        <w:tab/>
      </w:r>
      <w:r w:rsidR="00BB72F2" w:rsidRPr="006F17BB">
        <w:rPr>
          <w:szCs w:val="24"/>
        </w:rPr>
        <w:tab/>
      </w:r>
      <w:r w:rsidR="00BB72F2" w:rsidRPr="006F17BB">
        <w:rPr>
          <w:szCs w:val="24"/>
        </w:rPr>
        <w:tab/>
        <w:t>)</w:t>
      </w:r>
    </w:p>
    <w:p w14:paraId="14C20237" w14:textId="77777777" w:rsidR="00BB72F2" w:rsidRPr="006F17BB" w:rsidRDefault="00BB72F2" w:rsidP="00BB72F2">
      <w:pPr>
        <w:ind w:left="4320" w:firstLine="720"/>
        <w:rPr>
          <w:szCs w:val="24"/>
        </w:rPr>
      </w:pPr>
      <w:r w:rsidRPr="006F17BB">
        <w:rPr>
          <w:szCs w:val="24"/>
        </w:rPr>
        <w:t>)</w:t>
      </w:r>
    </w:p>
    <w:p w14:paraId="71DBB618" w14:textId="77777777" w:rsidR="00E12CB4" w:rsidRPr="006F17BB" w:rsidRDefault="00BB72F2" w:rsidP="00BB72F2">
      <w:pPr>
        <w:ind w:left="720" w:firstLine="720"/>
        <w:rPr>
          <w:szCs w:val="24"/>
        </w:rPr>
      </w:pPr>
      <w:r w:rsidRPr="006F17BB">
        <w:rPr>
          <w:szCs w:val="24"/>
        </w:rPr>
        <w:t>Intervenor-Defendant</w:t>
      </w:r>
      <w:r w:rsidR="005B0DD1" w:rsidRPr="006F17BB">
        <w:rPr>
          <w:szCs w:val="24"/>
        </w:rPr>
        <w:t>.</w:t>
      </w:r>
      <w:r w:rsidR="00E12CB4" w:rsidRPr="006F17BB">
        <w:rPr>
          <w:szCs w:val="24"/>
        </w:rPr>
        <w:tab/>
      </w:r>
      <w:r w:rsidR="00F301A2" w:rsidRPr="006F17BB">
        <w:rPr>
          <w:szCs w:val="24"/>
        </w:rPr>
        <w:tab/>
      </w:r>
      <w:r w:rsidR="00E12CB4" w:rsidRPr="006F17BB">
        <w:rPr>
          <w:szCs w:val="24"/>
        </w:rPr>
        <w:tab/>
        <w:t>)</w:t>
      </w:r>
    </w:p>
    <w:p w14:paraId="14E5A6D0" w14:textId="77777777" w:rsidR="00E12CB4" w:rsidRPr="006F17BB" w:rsidRDefault="00E12CB4" w:rsidP="00E12CB4">
      <w:pPr>
        <w:spacing w:after="240"/>
        <w:rPr>
          <w:szCs w:val="24"/>
        </w:rPr>
      </w:pPr>
      <w:r w:rsidRPr="006F17BB">
        <w:rPr>
          <w:szCs w:val="24"/>
        </w:rPr>
        <w:t>____________________________________</w:t>
      </w:r>
      <w:r w:rsidR="00F301A2" w:rsidRPr="006F17BB">
        <w:rPr>
          <w:szCs w:val="24"/>
        </w:rPr>
        <w:t>______</w:t>
      </w:r>
      <w:r w:rsidRPr="006F17BB">
        <w:rPr>
          <w:szCs w:val="24"/>
        </w:rPr>
        <w:t>)</w:t>
      </w:r>
    </w:p>
    <w:p w14:paraId="493D4936" w14:textId="77777777" w:rsidR="00F301A2" w:rsidRPr="006F17BB" w:rsidRDefault="00F301A2" w:rsidP="00E12CB4">
      <w:pPr>
        <w:jc w:val="center"/>
        <w:rPr>
          <w:b/>
          <w:szCs w:val="24"/>
        </w:rPr>
      </w:pPr>
    </w:p>
    <w:p w14:paraId="4F2E79AD" w14:textId="5E704C56" w:rsidR="0038545D" w:rsidRPr="006F17BB" w:rsidRDefault="00D96C89" w:rsidP="0038545D">
      <w:pPr>
        <w:jc w:val="center"/>
        <w:rPr>
          <w:b/>
          <w:bCs/>
          <w:szCs w:val="24"/>
          <w:u w:val="single"/>
        </w:rPr>
      </w:pPr>
      <w:r w:rsidRPr="00CA591C">
        <w:rPr>
          <w:b/>
          <w:bCs/>
          <w:szCs w:val="24"/>
        </w:rPr>
        <w:t xml:space="preserve">PLAINTIFFS’ </w:t>
      </w:r>
      <w:r w:rsidR="00CA591C" w:rsidRPr="00CA591C">
        <w:rPr>
          <w:b/>
          <w:bCs/>
          <w:szCs w:val="24"/>
        </w:rPr>
        <w:t>MOTION FOR AN ORDER TO</w:t>
      </w:r>
      <w:r w:rsidR="00CA591C">
        <w:rPr>
          <w:b/>
          <w:bCs/>
          <w:szCs w:val="24"/>
          <w:u w:val="single"/>
        </w:rPr>
        <w:t xml:space="preserve"> </w:t>
      </w:r>
      <w:r w:rsidR="00CA591C">
        <w:rPr>
          <w:b/>
          <w:bCs/>
          <w:szCs w:val="24"/>
          <w:u w:val="single"/>
        </w:rPr>
        <w:br/>
        <w:t xml:space="preserve">DEFENDANT FEDERAL ELECTION COMMISSION TO SHOW CAUSE </w:t>
      </w:r>
    </w:p>
    <w:p w14:paraId="44FED29D" w14:textId="77777777" w:rsidR="0038545D" w:rsidRPr="006F17BB" w:rsidRDefault="0038545D" w:rsidP="0038545D">
      <w:pPr>
        <w:rPr>
          <w:szCs w:val="24"/>
        </w:rPr>
      </w:pPr>
    </w:p>
    <w:p w14:paraId="091F55EE" w14:textId="32AF71D2" w:rsidR="00514945" w:rsidRDefault="00CA591C" w:rsidP="00565660">
      <w:pPr>
        <w:spacing w:line="480" w:lineRule="auto"/>
        <w:ind w:firstLine="720"/>
        <w:rPr>
          <w:szCs w:val="24"/>
        </w:rPr>
      </w:pPr>
      <w:r>
        <w:rPr>
          <w:szCs w:val="24"/>
        </w:rPr>
        <w:t xml:space="preserve">Plaintiffs Citizens for Responsibility and Ethics in Washington (“CREW”) and Melanie Sloan (collectively, “Plaintiffs”) hereby respectfully move this Court to issue an order to Defendant </w:t>
      </w:r>
      <w:r w:rsidR="00AD5B63">
        <w:rPr>
          <w:szCs w:val="24"/>
        </w:rPr>
        <w:t xml:space="preserve">the </w:t>
      </w:r>
      <w:r>
        <w:rPr>
          <w:szCs w:val="24"/>
        </w:rPr>
        <w:t>Federal Election Commission (“FEC”</w:t>
      </w:r>
      <w:r w:rsidR="00252893">
        <w:rPr>
          <w:szCs w:val="24"/>
        </w:rPr>
        <w:t xml:space="preserve"> or the “Commission”</w:t>
      </w:r>
      <w:r>
        <w:rPr>
          <w:szCs w:val="24"/>
        </w:rPr>
        <w:t xml:space="preserve">) to show cause why it should not be held to have violated this Court’s September 19, 2016 Order requiring the FEC to conform with the Court’s declaration within thirty days.  </w:t>
      </w:r>
      <w:r w:rsidRPr="00CA591C">
        <w:rPr>
          <w:i/>
          <w:szCs w:val="24"/>
        </w:rPr>
        <w:t>See</w:t>
      </w:r>
      <w:r>
        <w:rPr>
          <w:szCs w:val="24"/>
        </w:rPr>
        <w:t xml:space="preserve"> Mem. Op</w:t>
      </w:r>
      <w:r w:rsidR="00E0279D">
        <w:rPr>
          <w:szCs w:val="24"/>
        </w:rPr>
        <w:t>.</w:t>
      </w:r>
      <w:r>
        <w:rPr>
          <w:szCs w:val="24"/>
        </w:rPr>
        <w:t xml:space="preserve"> at 27, ECF No. 52</w:t>
      </w:r>
      <w:r w:rsidR="008871C9">
        <w:rPr>
          <w:szCs w:val="24"/>
        </w:rPr>
        <w:t>; Order, ECF No. 53 (collectively, the “September 19 Order”)</w:t>
      </w:r>
      <w:r>
        <w:rPr>
          <w:szCs w:val="24"/>
        </w:rPr>
        <w:t xml:space="preserve">.  </w:t>
      </w:r>
      <w:r w:rsidRPr="00CA591C">
        <w:rPr>
          <w:szCs w:val="24"/>
        </w:rPr>
        <w:t>The</w:t>
      </w:r>
      <w:r>
        <w:rPr>
          <w:szCs w:val="24"/>
        </w:rPr>
        <w:t xml:space="preserve"> Court’s thirty-day period expired on October 19, 20</w:t>
      </w:r>
      <w:r w:rsidR="008B67C3">
        <w:rPr>
          <w:szCs w:val="24"/>
        </w:rPr>
        <w:t xml:space="preserve">16.  Nevertheless, the FEC </w:t>
      </w:r>
      <w:r w:rsidR="00B57D06">
        <w:rPr>
          <w:szCs w:val="24"/>
        </w:rPr>
        <w:t xml:space="preserve">on remand </w:t>
      </w:r>
      <w:r w:rsidR="008B67C3">
        <w:rPr>
          <w:szCs w:val="24"/>
        </w:rPr>
        <w:t>f</w:t>
      </w:r>
      <w:r>
        <w:rPr>
          <w:szCs w:val="24"/>
        </w:rPr>
        <w:t xml:space="preserve">ailed </w:t>
      </w:r>
      <w:r w:rsidR="008B67C3">
        <w:rPr>
          <w:szCs w:val="24"/>
        </w:rPr>
        <w:t>to act in conformity</w:t>
      </w:r>
      <w:r w:rsidR="00B96F4E">
        <w:rPr>
          <w:szCs w:val="24"/>
        </w:rPr>
        <w:t xml:space="preserve"> with</w:t>
      </w:r>
      <w:r w:rsidR="008B67C3">
        <w:rPr>
          <w:szCs w:val="24"/>
        </w:rPr>
        <w:t xml:space="preserve"> the September 19</w:t>
      </w:r>
      <w:r w:rsidR="005975CA">
        <w:rPr>
          <w:szCs w:val="24"/>
        </w:rPr>
        <w:t xml:space="preserve"> </w:t>
      </w:r>
      <w:r w:rsidR="008B67C3">
        <w:rPr>
          <w:szCs w:val="24"/>
        </w:rPr>
        <w:t xml:space="preserve">Order </w:t>
      </w:r>
      <w:r w:rsidR="00522165">
        <w:rPr>
          <w:szCs w:val="24"/>
        </w:rPr>
        <w:t>on</w:t>
      </w:r>
      <w:r w:rsidR="005975CA">
        <w:rPr>
          <w:szCs w:val="24"/>
        </w:rPr>
        <w:t xml:space="preserve"> Plaintiffs’ allegations that </w:t>
      </w:r>
      <w:r w:rsidR="008871C9">
        <w:rPr>
          <w:szCs w:val="24"/>
        </w:rPr>
        <w:t>respondent</w:t>
      </w:r>
      <w:r>
        <w:rPr>
          <w:szCs w:val="24"/>
        </w:rPr>
        <w:t xml:space="preserve"> Americans for Job Security (“AJS”) and intervenor-defendant American Action Network (“AAN”)</w:t>
      </w:r>
      <w:r w:rsidR="008B67C3">
        <w:rPr>
          <w:szCs w:val="24"/>
        </w:rPr>
        <w:t xml:space="preserve"> </w:t>
      </w:r>
      <w:r>
        <w:rPr>
          <w:szCs w:val="24"/>
        </w:rPr>
        <w:t>violated the Federal Election Campaign Act (“FECA”</w:t>
      </w:r>
      <w:r w:rsidR="00B57D06">
        <w:rPr>
          <w:szCs w:val="24"/>
        </w:rPr>
        <w:t xml:space="preserve"> or “Act”</w:t>
      </w:r>
      <w:r>
        <w:rPr>
          <w:szCs w:val="24"/>
        </w:rPr>
        <w:t>) by failing to register and report as political committees.</w:t>
      </w:r>
      <w:r w:rsidR="00F15213">
        <w:rPr>
          <w:szCs w:val="24"/>
        </w:rPr>
        <w:t xml:space="preserve">  Plaintiffs further request this Court order the FEC to show cause why the FEC’s </w:t>
      </w:r>
      <w:r w:rsidR="00F15213">
        <w:rPr>
          <w:szCs w:val="24"/>
        </w:rPr>
        <w:lastRenderedPageBreak/>
        <w:t xml:space="preserve">failure to conform with the Court’s order does not give rise to </w:t>
      </w:r>
      <w:r w:rsidR="001973A3">
        <w:rPr>
          <w:szCs w:val="24"/>
        </w:rPr>
        <w:t>Plaintiffs’</w:t>
      </w:r>
      <w:r w:rsidR="00F15213">
        <w:rPr>
          <w:szCs w:val="24"/>
        </w:rPr>
        <w:t xml:space="preserve"> cause of action against AAN and AJS, pursuant to 52 U.S.C. § 30109(</w:t>
      </w:r>
      <w:r w:rsidR="00CE16E5">
        <w:rPr>
          <w:szCs w:val="24"/>
        </w:rPr>
        <w:t>a</w:t>
      </w:r>
      <w:r w:rsidR="00F15213">
        <w:rPr>
          <w:szCs w:val="24"/>
        </w:rPr>
        <w:t>)(8)(C).</w:t>
      </w:r>
      <w:r w:rsidR="001973A3">
        <w:rPr>
          <w:rStyle w:val="FootnoteReference"/>
          <w:szCs w:val="24"/>
        </w:rPr>
        <w:footnoteReference w:id="1"/>
      </w:r>
      <w:r w:rsidR="00F15213">
        <w:rPr>
          <w:szCs w:val="24"/>
        </w:rPr>
        <w:t xml:space="preserve">  </w:t>
      </w:r>
    </w:p>
    <w:p w14:paraId="45CB6B40" w14:textId="55BB7FE3" w:rsidR="00740831" w:rsidRDefault="00740831" w:rsidP="00565660">
      <w:pPr>
        <w:spacing w:line="480" w:lineRule="auto"/>
        <w:ind w:firstLine="720"/>
        <w:rPr>
          <w:szCs w:val="24"/>
        </w:rPr>
      </w:pPr>
      <w:r w:rsidRPr="005A2419">
        <w:rPr>
          <w:szCs w:val="24"/>
          <w:highlight w:val="yellow"/>
        </w:rPr>
        <w:t>In accordance with the Court’s Local Civil Rule 7(m), counsel for Plaintiffs conferred with Defendants on the relief requested by this motion.  Defendants plan to oppose this motion.</w:t>
      </w:r>
    </w:p>
    <w:p w14:paraId="00728CD6" w14:textId="0D7A1068" w:rsidR="00ED42A5" w:rsidRPr="00ED42A5" w:rsidRDefault="00ED42A5">
      <w:pPr>
        <w:pStyle w:val="Heading1"/>
      </w:pPr>
      <w:r>
        <w:t>BACKGROUND</w:t>
      </w:r>
    </w:p>
    <w:p w14:paraId="4BB059EF" w14:textId="76ED6632" w:rsidR="00CA591C" w:rsidRPr="00ED42A5" w:rsidRDefault="00CA591C" w:rsidP="00565660">
      <w:pPr>
        <w:spacing w:line="480" w:lineRule="auto"/>
        <w:ind w:firstLine="720"/>
        <w:rPr>
          <w:szCs w:val="24"/>
        </w:rPr>
      </w:pPr>
      <w:r>
        <w:rPr>
          <w:szCs w:val="24"/>
        </w:rPr>
        <w:t xml:space="preserve">On September 19, 2016, the Court granted Plaintiffs’ motion for summary judgment and found that the FEC acted contrary to law by dismissing Plaintiffs’ administrative complaints against AJS and AAN.  In particular, the Court </w:t>
      </w:r>
      <w:r w:rsidR="005975CA">
        <w:rPr>
          <w:szCs w:val="24"/>
        </w:rPr>
        <w:t xml:space="preserve">“had little trouble concluding” </w:t>
      </w:r>
      <w:r>
        <w:rPr>
          <w:szCs w:val="24"/>
        </w:rPr>
        <w:t xml:space="preserve">that three FEC commissioners’ (the “controlling commissioners”) </w:t>
      </w:r>
      <w:r w:rsidR="005975CA">
        <w:rPr>
          <w:szCs w:val="24"/>
        </w:rPr>
        <w:t xml:space="preserve">determination </w:t>
      </w:r>
      <w:r>
        <w:rPr>
          <w:szCs w:val="24"/>
        </w:rPr>
        <w:t xml:space="preserve">that none of AAN’s or AJS’s electioneering communications </w:t>
      </w:r>
      <w:r w:rsidR="005975CA">
        <w:rPr>
          <w:szCs w:val="24"/>
        </w:rPr>
        <w:t xml:space="preserve">counted toward demonstrating </w:t>
      </w:r>
      <w:r>
        <w:rPr>
          <w:szCs w:val="24"/>
        </w:rPr>
        <w:t xml:space="preserve">a purpose to nominate or elect federal candidates </w:t>
      </w:r>
      <w:r w:rsidR="005975CA">
        <w:rPr>
          <w:szCs w:val="24"/>
        </w:rPr>
        <w:t>was “legal error.”</w:t>
      </w:r>
      <w:r>
        <w:rPr>
          <w:szCs w:val="24"/>
        </w:rPr>
        <w:t xml:space="preserve">  Mem. Op</w:t>
      </w:r>
      <w:r w:rsidR="00E0279D">
        <w:rPr>
          <w:szCs w:val="24"/>
        </w:rPr>
        <w:t xml:space="preserve">. </w:t>
      </w:r>
      <w:r>
        <w:rPr>
          <w:szCs w:val="24"/>
        </w:rPr>
        <w:t xml:space="preserve">at </w:t>
      </w:r>
      <w:r w:rsidR="005975CA">
        <w:rPr>
          <w:szCs w:val="24"/>
        </w:rPr>
        <w:t>22</w:t>
      </w:r>
      <w:r w:rsidR="00281958">
        <w:rPr>
          <w:szCs w:val="24"/>
        </w:rPr>
        <w:t>–</w:t>
      </w:r>
      <w:r>
        <w:rPr>
          <w:szCs w:val="24"/>
        </w:rPr>
        <w:t>23.  The Court note</w:t>
      </w:r>
      <w:r w:rsidR="005975CA">
        <w:rPr>
          <w:szCs w:val="24"/>
        </w:rPr>
        <w:t>d</w:t>
      </w:r>
      <w:r>
        <w:rPr>
          <w:szCs w:val="24"/>
        </w:rPr>
        <w:t xml:space="preserve"> that, at a minimum, “</w:t>
      </w:r>
      <w:r>
        <w:rPr>
          <w:i/>
          <w:szCs w:val="24"/>
        </w:rPr>
        <w:t>many</w:t>
      </w:r>
      <w:r>
        <w:rPr>
          <w:szCs w:val="24"/>
        </w:rPr>
        <w:t xml:space="preserve"> or even </w:t>
      </w:r>
      <w:r>
        <w:rPr>
          <w:i/>
          <w:szCs w:val="24"/>
        </w:rPr>
        <w:t>most</w:t>
      </w:r>
      <w:r>
        <w:rPr>
          <w:szCs w:val="24"/>
        </w:rPr>
        <w:t xml:space="preserve"> electioneering communications indicate a campaign-related purpose</w:t>
      </w:r>
      <w:r w:rsidR="005975CA">
        <w:rPr>
          <w:szCs w:val="24"/>
        </w:rPr>
        <w:t>,</w:t>
      </w:r>
      <w:r>
        <w:rPr>
          <w:szCs w:val="24"/>
        </w:rPr>
        <w:t>”</w:t>
      </w:r>
      <w:r w:rsidR="005975CA">
        <w:rPr>
          <w:szCs w:val="24"/>
        </w:rPr>
        <w:t xml:space="preserve"> and found that the controlling commissioners’ conclusion “that many of the ads” </w:t>
      </w:r>
      <w:r w:rsidR="00AD27FE">
        <w:rPr>
          <w:szCs w:val="24"/>
        </w:rPr>
        <w:t xml:space="preserve">at issue in this case </w:t>
      </w:r>
      <w:r w:rsidR="005975CA">
        <w:rPr>
          <w:szCs w:val="24"/>
        </w:rPr>
        <w:t>“were not designed to influence the election or defeat” of a candidate in an ongoing federal race “blinks reality.”</w:t>
      </w:r>
      <w:r>
        <w:rPr>
          <w:szCs w:val="24"/>
        </w:rPr>
        <w:t xml:space="preserve">  </w:t>
      </w:r>
      <w:r>
        <w:rPr>
          <w:i/>
          <w:szCs w:val="24"/>
        </w:rPr>
        <w:t>Id.</w:t>
      </w:r>
      <w:r>
        <w:rPr>
          <w:szCs w:val="24"/>
        </w:rPr>
        <w:t xml:space="preserve"> </w:t>
      </w:r>
      <w:r w:rsidR="00AD27FE">
        <w:rPr>
          <w:szCs w:val="24"/>
        </w:rPr>
        <w:t>at 22.</w:t>
      </w:r>
      <w:r>
        <w:rPr>
          <w:szCs w:val="24"/>
        </w:rPr>
        <w:t xml:space="preserve"> </w:t>
      </w:r>
      <w:r w:rsidR="00AD27FE">
        <w:rPr>
          <w:szCs w:val="24"/>
        </w:rPr>
        <w:t xml:space="preserve"> </w:t>
      </w:r>
      <w:r w:rsidR="00F15213">
        <w:rPr>
          <w:szCs w:val="24"/>
        </w:rPr>
        <w:t xml:space="preserve">The Court further found </w:t>
      </w:r>
      <w:r w:rsidR="00BE0177">
        <w:rPr>
          <w:szCs w:val="24"/>
        </w:rPr>
        <w:t xml:space="preserve">arbitrary and capricious </w:t>
      </w:r>
      <w:r w:rsidR="00F15213">
        <w:rPr>
          <w:szCs w:val="24"/>
        </w:rPr>
        <w:t xml:space="preserve">the controlling commissioners’ “refusal to give any weight </w:t>
      </w:r>
      <w:r w:rsidR="0046615E">
        <w:rPr>
          <w:szCs w:val="24"/>
        </w:rPr>
        <w:t xml:space="preserve">whatsoever </w:t>
      </w:r>
      <w:r w:rsidR="00F15213">
        <w:rPr>
          <w:szCs w:val="24"/>
        </w:rPr>
        <w:t>to an organization’s relative spending in the most recent calendar year</w:t>
      </w:r>
      <w:r w:rsidR="00BE0177">
        <w:rPr>
          <w:szCs w:val="24"/>
        </w:rPr>
        <w:t>,</w:t>
      </w:r>
      <w:r w:rsidR="00F15213">
        <w:rPr>
          <w:szCs w:val="24"/>
        </w:rPr>
        <w:t>” as compared to its spending</w:t>
      </w:r>
      <w:r w:rsidR="00913414">
        <w:rPr>
          <w:szCs w:val="24"/>
        </w:rPr>
        <w:t xml:space="preserve"> </w:t>
      </w:r>
      <w:r w:rsidR="00AD27FE">
        <w:rPr>
          <w:szCs w:val="24"/>
        </w:rPr>
        <w:t>over its entire lifetime</w:t>
      </w:r>
      <w:r w:rsidR="00BE0177">
        <w:rPr>
          <w:szCs w:val="24"/>
        </w:rPr>
        <w:t xml:space="preserve">, </w:t>
      </w:r>
      <w:r w:rsidR="00913414">
        <w:rPr>
          <w:szCs w:val="24"/>
        </w:rPr>
        <w:t>in determining its current major purpose</w:t>
      </w:r>
      <w:r w:rsidR="00F15213">
        <w:rPr>
          <w:szCs w:val="24"/>
        </w:rPr>
        <w:t xml:space="preserve">.  </w:t>
      </w:r>
      <w:r w:rsidR="00F15213">
        <w:rPr>
          <w:i/>
          <w:szCs w:val="24"/>
        </w:rPr>
        <w:t xml:space="preserve">Id. </w:t>
      </w:r>
      <w:r w:rsidR="00F15213">
        <w:rPr>
          <w:szCs w:val="24"/>
        </w:rPr>
        <w:t xml:space="preserve">at 25.  </w:t>
      </w:r>
      <w:r w:rsidR="00E0279D">
        <w:rPr>
          <w:szCs w:val="24"/>
        </w:rPr>
        <w:t xml:space="preserve">Accordingly, the Court rejected </w:t>
      </w:r>
      <w:r w:rsidR="00522165">
        <w:rPr>
          <w:szCs w:val="24"/>
        </w:rPr>
        <w:t xml:space="preserve">as contrary to law </w:t>
      </w:r>
      <w:r w:rsidR="00E0279D">
        <w:rPr>
          <w:szCs w:val="24"/>
        </w:rPr>
        <w:t xml:space="preserve">the reasoning of the controlling commissioners which refused to consider AAN’s and AJS’s electioneering communications </w:t>
      </w:r>
      <w:r w:rsidR="00913414">
        <w:rPr>
          <w:szCs w:val="24"/>
        </w:rPr>
        <w:t>and gave equal weight to the group</w:t>
      </w:r>
      <w:r w:rsidR="00252893">
        <w:rPr>
          <w:szCs w:val="24"/>
        </w:rPr>
        <w:t>s</w:t>
      </w:r>
      <w:r w:rsidR="00913414">
        <w:rPr>
          <w:szCs w:val="24"/>
        </w:rPr>
        <w:t>’ historical activities</w:t>
      </w:r>
      <w:r w:rsidR="00E0279D">
        <w:rPr>
          <w:szCs w:val="24"/>
        </w:rPr>
        <w:t xml:space="preserve">, and </w:t>
      </w:r>
      <w:r w:rsidR="00281958">
        <w:rPr>
          <w:szCs w:val="24"/>
        </w:rPr>
        <w:t xml:space="preserve">it </w:t>
      </w:r>
      <w:r w:rsidR="00E0279D">
        <w:rPr>
          <w:szCs w:val="24"/>
        </w:rPr>
        <w:t>reversed the dismissal of Plaintiffs’ complaints caused by the resulting deadlock</w:t>
      </w:r>
      <w:r w:rsidR="00522165">
        <w:rPr>
          <w:szCs w:val="24"/>
        </w:rPr>
        <w:t xml:space="preserve"> at the FEC</w:t>
      </w:r>
      <w:r w:rsidR="00E0279D">
        <w:rPr>
          <w:szCs w:val="24"/>
        </w:rPr>
        <w:t xml:space="preserve">.  </w:t>
      </w:r>
      <w:r w:rsidR="00E0279D">
        <w:rPr>
          <w:i/>
          <w:szCs w:val="24"/>
        </w:rPr>
        <w:t>Id.</w:t>
      </w:r>
      <w:r w:rsidR="00E0279D">
        <w:rPr>
          <w:szCs w:val="24"/>
        </w:rPr>
        <w:t xml:space="preserve"> </w:t>
      </w:r>
      <w:r w:rsidR="00E0279D">
        <w:rPr>
          <w:szCs w:val="24"/>
        </w:rPr>
        <w:lastRenderedPageBreak/>
        <w:t xml:space="preserve">at 27. </w:t>
      </w:r>
      <w:r w:rsidR="00ED42A5">
        <w:rPr>
          <w:szCs w:val="24"/>
        </w:rPr>
        <w:t xml:space="preserve"> The Court provided the FEC thirty days in which to act on remand in conformity with </w:t>
      </w:r>
      <w:r w:rsidR="00522165">
        <w:rPr>
          <w:szCs w:val="24"/>
        </w:rPr>
        <w:t xml:space="preserve">its </w:t>
      </w:r>
      <w:r w:rsidR="00ED42A5">
        <w:rPr>
          <w:szCs w:val="24"/>
        </w:rPr>
        <w:t xml:space="preserve">judgment.  </w:t>
      </w:r>
      <w:r w:rsidR="00ED42A5">
        <w:rPr>
          <w:i/>
          <w:szCs w:val="24"/>
        </w:rPr>
        <w:t>Id.</w:t>
      </w:r>
    </w:p>
    <w:p w14:paraId="0F6E6966" w14:textId="08FC921E" w:rsidR="00E0279D" w:rsidRDefault="00ED42A5" w:rsidP="00ED42A5">
      <w:pPr>
        <w:spacing w:line="480" w:lineRule="auto"/>
        <w:ind w:firstLine="720"/>
        <w:rPr>
          <w:szCs w:val="24"/>
        </w:rPr>
      </w:pPr>
      <w:r>
        <w:rPr>
          <w:szCs w:val="24"/>
        </w:rPr>
        <w:t xml:space="preserve">The Court’s deadline for </w:t>
      </w:r>
      <w:r w:rsidR="006B782C">
        <w:rPr>
          <w:szCs w:val="24"/>
        </w:rPr>
        <w:t xml:space="preserve">corrective </w:t>
      </w:r>
      <w:r>
        <w:rPr>
          <w:szCs w:val="24"/>
        </w:rPr>
        <w:t>action expired on October 19, 2016.  Nevertheless, w</w:t>
      </w:r>
      <w:r w:rsidR="00E0279D">
        <w:rPr>
          <w:szCs w:val="24"/>
        </w:rPr>
        <w:t xml:space="preserve">ith regard to AJS, the FEC </w:t>
      </w:r>
      <w:r w:rsidR="006B782C">
        <w:rPr>
          <w:szCs w:val="24"/>
        </w:rPr>
        <w:t>either</w:t>
      </w:r>
      <w:r w:rsidR="00E0279D">
        <w:rPr>
          <w:szCs w:val="24"/>
        </w:rPr>
        <w:t xml:space="preserve"> failed to take any </w:t>
      </w:r>
      <w:r w:rsidR="00401A74">
        <w:rPr>
          <w:szCs w:val="24"/>
        </w:rPr>
        <w:t xml:space="preserve">substantive </w:t>
      </w:r>
      <w:r w:rsidR="00E0279D">
        <w:rPr>
          <w:szCs w:val="24"/>
        </w:rPr>
        <w:t>action</w:t>
      </w:r>
      <w:r w:rsidR="006B782C">
        <w:rPr>
          <w:szCs w:val="24"/>
        </w:rPr>
        <w:t xml:space="preserve"> </w:t>
      </w:r>
      <w:r w:rsidR="00401A74">
        <w:rPr>
          <w:szCs w:val="24"/>
        </w:rPr>
        <w:t xml:space="preserve">on Plaintiffs’ complaint </w:t>
      </w:r>
      <w:r w:rsidR="006B782C">
        <w:rPr>
          <w:szCs w:val="24"/>
        </w:rPr>
        <w:t>or failed to disclose the action it took</w:t>
      </w:r>
      <w:r w:rsidR="00401A74">
        <w:rPr>
          <w:szCs w:val="24"/>
        </w:rPr>
        <w:t>.</w:t>
      </w:r>
      <w:r w:rsidR="00AD27FE">
        <w:rPr>
          <w:szCs w:val="24"/>
        </w:rPr>
        <w:t xml:space="preserve">  </w:t>
      </w:r>
      <w:r w:rsidR="00E0279D">
        <w:rPr>
          <w:szCs w:val="24"/>
        </w:rPr>
        <w:t>With regard to AAN, the FEC once again dismissed Plaintiffs’ administrative complaint after deadlocking on the substance</w:t>
      </w:r>
      <w:r w:rsidR="00AD27FE">
        <w:rPr>
          <w:szCs w:val="24"/>
        </w:rPr>
        <w:t xml:space="preserve"> of the allegations</w:t>
      </w:r>
      <w:r w:rsidR="00E0279D">
        <w:rPr>
          <w:szCs w:val="24"/>
        </w:rPr>
        <w:t xml:space="preserve">.  </w:t>
      </w:r>
      <w:r w:rsidR="00E0279D">
        <w:rPr>
          <w:i/>
          <w:szCs w:val="24"/>
        </w:rPr>
        <w:t>See</w:t>
      </w:r>
      <w:r w:rsidR="00E0279D">
        <w:rPr>
          <w:szCs w:val="24"/>
        </w:rPr>
        <w:t xml:space="preserve"> L</w:t>
      </w:r>
      <w:r w:rsidR="00B15A9E">
        <w:rPr>
          <w:szCs w:val="24"/>
        </w:rPr>
        <w:t>etter</w:t>
      </w:r>
      <w:r w:rsidR="00E0279D">
        <w:rPr>
          <w:szCs w:val="24"/>
        </w:rPr>
        <w:t xml:space="preserve"> </w:t>
      </w:r>
      <w:r w:rsidR="00B15A9E">
        <w:rPr>
          <w:szCs w:val="24"/>
        </w:rPr>
        <w:t>f</w:t>
      </w:r>
      <w:r w:rsidR="00E0279D">
        <w:rPr>
          <w:szCs w:val="24"/>
        </w:rPr>
        <w:t xml:space="preserve">rom Kathleen </w:t>
      </w:r>
      <w:proofErr w:type="spellStart"/>
      <w:r w:rsidR="00E0279D">
        <w:rPr>
          <w:szCs w:val="24"/>
        </w:rPr>
        <w:t>Guith</w:t>
      </w:r>
      <w:proofErr w:type="spellEnd"/>
      <w:r w:rsidR="00B15A9E">
        <w:rPr>
          <w:szCs w:val="24"/>
        </w:rPr>
        <w:t xml:space="preserve">, Acting Assoc. Gen. Counsel for </w:t>
      </w:r>
      <w:proofErr w:type="spellStart"/>
      <w:r w:rsidR="00B15A9E">
        <w:rPr>
          <w:szCs w:val="24"/>
        </w:rPr>
        <w:t>Enf’t</w:t>
      </w:r>
      <w:proofErr w:type="spellEnd"/>
      <w:r w:rsidR="00B15A9E">
        <w:rPr>
          <w:szCs w:val="24"/>
        </w:rPr>
        <w:t xml:space="preserve">, FEC, </w:t>
      </w:r>
      <w:r w:rsidR="00E0279D">
        <w:rPr>
          <w:szCs w:val="24"/>
        </w:rPr>
        <w:t>to Noah Bookbinder</w:t>
      </w:r>
      <w:r w:rsidR="00B15A9E">
        <w:rPr>
          <w:szCs w:val="24"/>
        </w:rPr>
        <w:t>, Exec. Dir., CREW,</w:t>
      </w:r>
      <w:r w:rsidR="00E0279D">
        <w:rPr>
          <w:szCs w:val="24"/>
        </w:rPr>
        <w:t xml:space="preserve"> and Melanie Sloan</w:t>
      </w:r>
      <w:r w:rsidR="00B15A9E">
        <w:rPr>
          <w:szCs w:val="24"/>
        </w:rPr>
        <w:t xml:space="preserve"> (Oct, 19, 2016)</w:t>
      </w:r>
      <w:r w:rsidR="002A16AC">
        <w:rPr>
          <w:szCs w:val="24"/>
        </w:rPr>
        <w:t>, attached as Exhibit 1.</w:t>
      </w:r>
      <w:r w:rsidR="00E0279D">
        <w:rPr>
          <w:szCs w:val="24"/>
        </w:rPr>
        <w:t xml:space="preserve">  </w:t>
      </w:r>
      <w:r w:rsidR="00252893">
        <w:rPr>
          <w:szCs w:val="24"/>
        </w:rPr>
        <w:t>The controlling commissioners</w:t>
      </w:r>
      <w:r w:rsidR="00913414">
        <w:rPr>
          <w:szCs w:val="24"/>
        </w:rPr>
        <w:t xml:space="preserve"> </w:t>
      </w:r>
      <w:r w:rsidR="006B782C">
        <w:rPr>
          <w:szCs w:val="24"/>
        </w:rPr>
        <w:t xml:space="preserve">provided a </w:t>
      </w:r>
      <w:r w:rsidR="00913414">
        <w:rPr>
          <w:szCs w:val="24"/>
        </w:rPr>
        <w:t>new</w:t>
      </w:r>
      <w:r w:rsidR="006B782C">
        <w:rPr>
          <w:szCs w:val="24"/>
        </w:rPr>
        <w:t xml:space="preserve"> statement of reasons explaining their continued refusal to find AAN had the major purpose to nominate or elect federal candidates in 2010.  </w:t>
      </w:r>
    </w:p>
    <w:p w14:paraId="11677498" w14:textId="5FB64C46" w:rsidR="003F4A1F" w:rsidRPr="00B96F4E" w:rsidRDefault="001E4D09" w:rsidP="00565660">
      <w:pPr>
        <w:spacing w:line="480" w:lineRule="auto"/>
        <w:ind w:firstLine="720"/>
        <w:rPr>
          <w:szCs w:val="24"/>
        </w:rPr>
      </w:pPr>
      <w:r>
        <w:rPr>
          <w:szCs w:val="24"/>
        </w:rPr>
        <w:t>D</w:t>
      </w:r>
      <w:r w:rsidR="002A16AC">
        <w:rPr>
          <w:szCs w:val="24"/>
        </w:rPr>
        <w:t xml:space="preserve">espite this Court’s admonition that </w:t>
      </w:r>
      <w:r>
        <w:rPr>
          <w:szCs w:val="24"/>
        </w:rPr>
        <w:t>“</w:t>
      </w:r>
      <w:r w:rsidR="002A16AC" w:rsidRPr="00281958">
        <w:rPr>
          <w:i/>
          <w:szCs w:val="24"/>
        </w:rPr>
        <w:t>many</w:t>
      </w:r>
      <w:r w:rsidR="002A16AC">
        <w:rPr>
          <w:szCs w:val="24"/>
        </w:rPr>
        <w:t xml:space="preserve"> or even </w:t>
      </w:r>
      <w:r w:rsidR="002A16AC" w:rsidRPr="00281958">
        <w:rPr>
          <w:i/>
          <w:szCs w:val="24"/>
        </w:rPr>
        <w:t>most</w:t>
      </w:r>
      <w:r>
        <w:rPr>
          <w:szCs w:val="24"/>
        </w:rPr>
        <w:t>”</w:t>
      </w:r>
      <w:r w:rsidR="002A16AC">
        <w:rPr>
          <w:szCs w:val="24"/>
        </w:rPr>
        <w:t xml:space="preserve"> electioneering communications indicate an electoral purpose </w:t>
      </w:r>
      <w:r>
        <w:rPr>
          <w:szCs w:val="24"/>
        </w:rPr>
        <w:t xml:space="preserve">and that it “blinks reality” to conclude that “many of </w:t>
      </w:r>
      <w:r w:rsidR="00522165">
        <w:rPr>
          <w:szCs w:val="24"/>
        </w:rPr>
        <w:t xml:space="preserve">the </w:t>
      </w:r>
      <w:r>
        <w:rPr>
          <w:szCs w:val="24"/>
        </w:rPr>
        <w:t xml:space="preserve">ads” at issue were not designed to influence elections, </w:t>
      </w:r>
      <w:r w:rsidR="002A16AC">
        <w:rPr>
          <w:szCs w:val="24"/>
        </w:rPr>
        <w:t xml:space="preserve">the controlling commissioners found only </w:t>
      </w:r>
      <w:r w:rsidR="006B782C">
        <w:rPr>
          <w:szCs w:val="24"/>
        </w:rPr>
        <w:t>four</w:t>
      </w:r>
      <w:r w:rsidR="002A16AC">
        <w:rPr>
          <w:szCs w:val="24"/>
        </w:rPr>
        <w:t xml:space="preserve"> of AAN’s twenty versions of electioneering communications </w:t>
      </w:r>
      <w:r>
        <w:rPr>
          <w:szCs w:val="24"/>
        </w:rPr>
        <w:t xml:space="preserve">ads </w:t>
      </w:r>
      <w:r w:rsidR="002A16AC">
        <w:rPr>
          <w:szCs w:val="24"/>
        </w:rPr>
        <w:t>“may reasonably support an inference that their cost may count toward a determination that AAN’s major purpose was the nomination or election of federal candidates.</w:t>
      </w:r>
      <w:r w:rsidR="002F26E2">
        <w:rPr>
          <w:szCs w:val="24"/>
        </w:rPr>
        <w:t>”</w:t>
      </w:r>
      <w:r w:rsidR="002A16AC">
        <w:rPr>
          <w:szCs w:val="24"/>
        </w:rPr>
        <w:t xml:space="preserve">  </w:t>
      </w:r>
      <w:r w:rsidR="002A16AC">
        <w:rPr>
          <w:i/>
          <w:szCs w:val="24"/>
        </w:rPr>
        <w:t xml:space="preserve">See </w:t>
      </w:r>
      <w:r w:rsidR="002A16AC">
        <w:rPr>
          <w:szCs w:val="24"/>
        </w:rPr>
        <w:t>Statement of Reasons of Chairman Matthew S. Petersen and Commissioners Caroli</w:t>
      </w:r>
      <w:r w:rsidR="00B15A9E">
        <w:rPr>
          <w:szCs w:val="24"/>
        </w:rPr>
        <w:t xml:space="preserve">ne C. Hunter and Lee E. Goodman </w:t>
      </w:r>
      <w:r w:rsidR="006B782C">
        <w:rPr>
          <w:szCs w:val="24"/>
        </w:rPr>
        <w:t xml:space="preserve">12, </w:t>
      </w:r>
      <w:r w:rsidR="00B15A9E">
        <w:rPr>
          <w:szCs w:val="24"/>
        </w:rPr>
        <w:t>15</w:t>
      </w:r>
      <w:r w:rsidR="002A16AC">
        <w:rPr>
          <w:szCs w:val="24"/>
        </w:rPr>
        <w:t>–17</w:t>
      </w:r>
      <w:r w:rsidR="00BE0177">
        <w:rPr>
          <w:szCs w:val="24"/>
        </w:rPr>
        <w:t>, MUR 6589</w:t>
      </w:r>
      <w:r w:rsidR="00B15A9E">
        <w:rPr>
          <w:szCs w:val="24"/>
        </w:rPr>
        <w:t>R</w:t>
      </w:r>
      <w:r w:rsidR="00BE0177">
        <w:rPr>
          <w:szCs w:val="24"/>
        </w:rPr>
        <w:t xml:space="preserve"> (Oct. 19, 2016)</w:t>
      </w:r>
      <w:r w:rsidR="002A16AC">
        <w:rPr>
          <w:szCs w:val="24"/>
        </w:rPr>
        <w:t>, attached as Exhibit 2</w:t>
      </w:r>
      <w:r w:rsidR="003F4A1F">
        <w:rPr>
          <w:szCs w:val="24"/>
        </w:rPr>
        <w:t xml:space="preserve"> (discussing AAN’s </w:t>
      </w:r>
      <w:r w:rsidR="00B15A9E">
        <w:rPr>
          <w:szCs w:val="24"/>
        </w:rPr>
        <w:t>“</w:t>
      </w:r>
      <w:r w:rsidR="006B782C">
        <w:rPr>
          <w:szCs w:val="24"/>
        </w:rPr>
        <w:t>Bucket,” “</w:t>
      </w:r>
      <w:r w:rsidR="00B15A9E">
        <w:rPr>
          <w:szCs w:val="24"/>
        </w:rPr>
        <w:t xml:space="preserve">New Hampshire,” </w:t>
      </w:r>
      <w:r w:rsidR="003F4A1F">
        <w:rPr>
          <w:szCs w:val="24"/>
        </w:rPr>
        <w:t>“Order</w:t>
      </w:r>
      <w:r w:rsidR="00B15A9E">
        <w:rPr>
          <w:szCs w:val="24"/>
        </w:rPr>
        <w:t>,</w:t>
      </w:r>
      <w:r w:rsidR="003F4A1F">
        <w:rPr>
          <w:szCs w:val="24"/>
        </w:rPr>
        <w:t>” and “Extreme” ads).</w:t>
      </w:r>
      <w:r w:rsidR="002A16AC">
        <w:rPr>
          <w:szCs w:val="24"/>
        </w:rPr>
        <w:t xml:space="preserve"> </w:t>
      </w:r>
      <w:r w:rsidR="003F4A1F">
        <w:rPr>
          <w:szCs w:val="24"/>
        </w:rPr>
        <w:t xml:space="preserve"> </w:t>
      </w:r>
      <w:r w:rsidR="00281958">
        <w:rPr>
          <w:szCs w:val="24"/>
        </w:rPr>
        <w:t>In</w:t>
      </w:r>
      <w:r w:rsidR="002A2370">
        <w:rPr>
          <w:szCs w:val="24"/>
        </w:rPr>
        <w:t>credibly</w:t>
      </w:r>
      <w:r w:rsidR="00281958">
        <w:rPr>
          <w:szCs w:val="24"/>
        </w:rPr>
        <w:t xml:space="preserve">, </w:t>
      </w:r>
      <w:r w:rsidR="00B57D06">
        <w:rPr>
          <w:szCs w:val="24"/>
        </w:rPr>
        <w:t>t</w:t>
      </w:r>
      <w:r w:rsidR="003F4A1F">
        <w:rPr>
          <w:szCs w:val="24"/>
        </w:rPr>
        <w:t>he controlling commissioners rejected the conclusion that</w:t>
      </w:r>
      <w:r w:rsidR="006B782C">
        <w:rPr>
          <w:szCs w:val="24"/>
        </w:rPr>
        <w:t xml:space="preserve"> </w:t>
      </w:r>
      <w:r w:rsidR="003F4A1F">
        <w:rPr>
          <w:szCs w:val="24"/>
        </w:rPr>
        <w:t xml:space="preserve">AAN’s “Read </w:t>
      </w:r>
      <w:proofErr w:type="gramStart"/>
      <w:r w:rsidR="003F4A1F">
        <w:rPr>
          <w:szCs w:val="24"/>
        </w:rPr>
        <w:t>This</w:t>
      </w:r>
      <w:proofErr w:type="gramEnd"/>
      <w:r w:rsidR="003F4A1F">
        <w:rPr>
          <w:szCs w:val="24"/>
        </w:rPr>
        <w:t xml:space="preserve">” ad—the ad this Court quoted in full in its Order, </w:t>
      </w:r>
      <w:r w:rsidR="003F4A1F">
        <w:rPr>
          <w:i/>
          <w:szCs w:val="24"/>
        </w:rPr>
        <w:t xml:space="preserve">see </w:t>
      </w:r>
      <w:r w:rsidR="003F4A1F">
        <w:rPr>
          <w:szCs w:val="24"/>
        </w:rPr>
        <w:t>Mem. Op. at 1—reflect</w:t>
      </w:r>
      <w:r w:rsidR="006B782C">
        <w:rPr>
          <w:szCs w:val="24"/>
        </w:rPr>
        <w:t>ed</w:t>
      </w:r>
      <w:r w:rsidR="003F4A1F">
        <w:rPr>
          <w:szCs w:val="24"/>
        </w:rPr>
        <w:t xml:space="preserve"> an electoral purpose, Ex. 2 at 14.  </w:t>
      </w:r>
      <w:r w:rsidR="00384591">
        <w:rPr>
          <w:szCs w:val="24"/>
        </w:rPr>
        <w:t xml:space="preserve">Similarly, the controlling commissioners found fifteen other electioneering communications </w:t>
      </w:r>
      <w:r w:rsidR="00E27D61">
        <w:rPr>
          <w:szCs w:val="24"/>
        </w:rPr>
        <w:t xml:space="preserve">ads </w:t>
      </w:r>
      <w:r w:rsidR="00384591">
        <w:rPr>
          <w:szCs w:val="24"/>
        </w:rPr>
        <w:t xml:space="preserve">were not designed to influence elections.  </w:t>
      </w:r>
      <w:r w:rsidR="00431C8B">
        <w:rPr>
          <w:szCs w:val="24"/>
        </w:rPr>
        <w:t xml:space="preserve">Accordingly, </w:t>
      </w:r>
      <w:r w:rsidR="00E50026" w:rsidRPr="00C1730A">
        <w:rPr>
          <w:szCs w:val="24"/>
        </w:rPr>
        <w:t xml:space="preserve">the controlling commissioners found </w:t>
      </w:r>
      <w:r w:rsidR="008871C9">
        <w:rPr>
          <w:szCs w:val="24"/>
        </w:rPr>
        <w:t xml:space="preserve">only </w:t>
      </w:r>
      <w:r w:rsidR="00E50026" w:rsidRPr="00C1730A">
        <w:rPr>
          <w:szCs w:val="24"/>
        </w:rPr>
        <w:t xml:space="preserve">$1,875,394 </w:t>
      </w:r>
      <w:r w:rsidR="00E27D61">
        <w:rPr>
          <w:szCs w:val="24"/>
        </w:rPr>
        <w:t xml:space="preserve">of the $13,792,875 </w:t>
      </w:r>
      <w:r w:rsidR="00E50026" w:rsidRPr="00C1730A">
        <w:rPr>
          <w:szCs w:val="24"/>
        </w:rPr>
        <w:t>AAN spen</w:t>
      </w:r>
      <w:r w:rsidR="00E27D61">
        <w:rPr>
          <w:szCs w:val="24"/>
        </w:rPr>
        <w:t>t on electioneering communications—</w:t>
      </w:r>
      <w:r w:rsidR="00B306CF">
        <w:rPr>
          <w:szCs w:val="24"/>
        </w:rPr>
        <w:t>just 13.6</w:t>
      </w:r>
      <w:r w:rsidR="00E27D61">
        <w:rPr>
          <w:szCs w:val="24"/>
        </w:rPr>
        <w:t>%—</w:t>
      </w:r>
      <w:r w:rsidR="00E50026" w:rsidRPr="00C1730A">
        <w:rPr>
          <w:szCs w:val="24"/>
        </w:rPr>
        <w:t>was election related</w:t>
      </w:r>
      <w:r w:rsidR="00E27D61">
        <w:rPr>
          <w:szCs w:val="24"/>
        </w:rPr>
        <w:t xml:space="preserve">.  </w:t>
      </w:r>
      <w:r w:rsidR="00E27D61">
        <w:rPr>
          <w:i/>
          <w:szCs w:val="24"/>
        </w:rPr>
        <w:t>I</w:t>
      </w:r>
      <w:r w:rsidR="00E50026" w:rsidRPr="00C1730A">
        <w:rPr>
          <w:i/>
          <w:szCs w:val="24"/>
        </w:rPr>
        <w:t>d.</w:t>
      </w:r>
      <w:r w:rsidR="00E50026" w:rsidRPr="00C1730A">
        <w:rPr>
          <w:szCs w:val="24"/>
        </w:rPr>
        <w:t xml:space="preserve"> at 17.</w:t>
      </w:r>
      <w:r w:rsidR="002E17A0">
        <w:rPr>
          <w:szCs w:val="24"/>
        </w:rPr>
        <w:t xml:space="preserve"> </w:t>
      </w:r>
      <w:r w:rsidR="00252893">
        <w:rPr>
          <w:szCs w:val="24"/>
        </w:rPr>
        <w:t xml:space="preserve"> </w:t>
      </w:r>
      <w:r w:rsidR="00CA5794">
        <w:rPr>
          <w:szCs w:val="24"/>
        </w:rPr>
        <w:t>Consequently, the controlling commissioners concluded that AAN’s total campaign</w:t>
      </w:r>
      <w:r w:rsidR="00FD3A20">
        <w:rPr>
          <w:szCs w:val="24"/>
        </w:rPr>
        <w:t>-</w:t>
      </w:r>
      <w:r w:rsidR="00CA5794">
        <w:rPr>
          <w:szCs w:val="24"/>
        </w:rPr>
        <w:t xml:space="preserve">related </w:t>
      </w:r>
      <w:r w:rsidR="00CA5794" w:rsidRPr="002E17A0">
        <w:rPr>
          <w:szCs w:val="24"/>
        </w:rPr>
        <w:t>s</w:t>
      </w:r>
      <w:r w:rsidR="00CA5794">
        <w:rPr>
          <w:szCs w:val="24"/>
        </w:rPr>
        <w:t xml:space="preserve">pending in 2010 amounted to only $5,972,304, or about 22% of </w:t>
      </w:r>
      <w:r w:rsidR="00522165">
        <w:rPr>
          <w:szCs w:val="24"/>
        </w:rPr>
        <w:t xml:space="preserve">its </w:t>
      </w:r>
      <w:r w:rsidR="00B96F4E">
        <w:rPr>
          <w:szCs w:val="24"/>
        </w:rPr>
        <w:t>overall spending</w:t>
      </w:r>
      <w:r w:rsidR="00CA5794">
        <w:rPr>
          <w:szCs w:val="24"/>
        </w:rPr>
        <w:t>, which the controlling commissioners concluded was insufficient to find AAN’s major purpose was to influence elections</w:t>
      </w:r>
      <w:r w:rsidR="008E02F8">
        <w:rPr>
          <w:szCs w:val="24"/>
        </w:rPr>
        <w:t>.</w:t>
      </w:r>
      <w:r w:rsidR="007E4541">
        <w:rPr>
          <w:szCs w:val="24"/>
        </w:rPr>
        <w:t xml:space="preserve">  </w:t>
      </w:r>
      <w:r w:rsidR="007E4541">
        <w:rPr>
          <w:i/>
          <w:szCs w:val="24"/>
        </w:rPr>
        <w:t>Id.</w:t>
      </w:r>
      <w:r w:rsidR="00B96F4E" w:rsidRPr="009C5F77">
        <w:rPr>
          <w:rStyle w:val="FootnoteReference"/>
          <w:szCs w:val="24"/>
        </w:rPr>
        <w:footnoteReference w:id="2"/>
      </w:r>
    </w:p>
    <w:p w14:paraId="680462C8" w14:textId="0B4E71E5" w:rsidR="002E17A0" w:rsidRDefault="002E17A0">
      <w:pPr>
        <w:pStyle w:val="Heading1"/>
      </w:pPr>
      <w:r>
        <w:t>ARGUMENT</w:t>
      </w:r>
    </w:p>
    <w:p w14:paraId="3EBC59EF" w14:textId="5D62B286" w:rsidR="002E17A0" w:rsidRDefault="002E17A0" w:rsidP="002E17A0">
      <w:pPr>
        <w:spacing w:line="480" w:lineRule="auto"/>
        <w:ind w:firstLine="720"/>
        <w:rPr>
          <w:szCs w:val="24"/>
        </w:rPr>
      </w:pPr>
      <w:r>
        <w:rPr>
          <w:szCs w:val="24"/>
        </w:rPr>
        <w:t>Despite this Court’s clear admonition to the FEC to reconsider Plaintiffs’ complaints against AJS and AAN and to act on those complaints in conformity with the Court’s judgment within thirty</w:t>
      </w:r>
      <w:r w:rsidR="00F15F86">
        <w:rPr>
          <w:szCs w:val="24"/>
        </w:rPr>
        <w:t xml:space="preserve"> </w:t>
      </w:r>
      <w:r>
        <w:rPr>
          <w:szCs w:val="24"/>
        </w:rPr>
        <w:t>days, the FEC failed to do so.  With regard to AJS, the</w:t>
      </w:r>
      <w:r w:rsidR="00F15F86">
        <w:rPr>
          <w:szCs w:val="24"/>
        </w:rPr>
        <w:t xml:space="preserve"> FEC</w:t>
      </w:r>
      <w:r>
        <w:rPr>
          <w:szCs w:val="24"/>
        </w:rPr>
        <w:t xml:space="preserve"> completely failed to act, and with regard to AAN, the</w:t>
      </w:r>
      <w:r w:rsidR="00F15F86">
        <w:rPr>
          <w:szCs w:val="24"/>
        </w:rPr>
        <w:t xml:space="preserve"> Commission</w:t>
      </w:r>
      <w:r>
        <w:rPr>
          <w:szCs w:val="24"/>
        </w:rPr>
        <w:t xml:space="preserve"> failed to act in conformity with the September 19 Order and once again dismiss</w:t>
      </w:r>
      <w:r w:rsidR="00580AAE">
        <w:rPr>
          <w:szCs w:val="24"/>
        </w:rPr>
        <w:t>ed</w:t>
      </w:r>
      <w:r>
        <w:rPr>
          <w:szCs w:val="24"/>
        </w:rPr>
        <w:t xml:space="preserve"> Plaintiffs’ complaint in a manner contrary to law.</w:t>
      </w:r>
    </w:p>
    <w:p w14:paraId="30DB5DA2" w14:textId="586E7B64" w:rsidR="002E17A0" w:rsidRDefault="002E17A0" w:rsidP="004800D0">
      <w:pPr>
        <w:pStyle w:val="Heading2"/>
      </w:pPr>
      <w:r>
        <w:t>The FEC Failed to Take Any Action on AJS</w:t>
      </w:r>
    </w:p>
    <w:p w14:paraId="176352DC" w14:textId="35DEE392" w:rsidR="002E17A0" w:rsidRDefault="002E17A0" w:rsidP="005A2419">
      <w:pPr>
        <w:spacing w:line="480" w:lineRule="auto"/>
        <w:ind w:firstLine="720"/>
      </w:pPr>
      <w:r>
        <w:t>The Court’s September 19 Order reversed the FEC’s dismissal of Plaintiffs’ complaint against AJS</w:t>
      </w:r>
      <w:r w:rsidR="00F15F86">
        <w:t xml:space="preserve"> and</w:t>
      </w:r>
      <w:r w:rsidR="00183E00">
        <w:t xml:space="preserve"> provided the FEC thirty days to correct its error.  </w:t>
      </w:r>
      <w:r w:rsidR="00F15F86">
        <w:t xml:space="preserve">Mem. Op. at 27.  </w:t>
      </w:r>
      <w:r w:rsidR="00183E00">
        <w:t>That thirty</w:t>
      </w:r>
      <w:r w:rsidR="00F15F86">
        <w:t>-</w:t>
      </w:r>
      <w:r w:rsidR="00183E00">
        <w:t xml:space="preserve">day period expired on October 19, 2016.  </w:t>
      </w:r>
      <w:r>
        <w:t xml:space="preserve">On October 12, 2016, the FEC notified Plaintiffs that they the Commission was “unable to reach agreement by the required four affirmative votes to appeal the matter.”  Letter from Kathleen </w:t>
      </w:r>
      <w:proofErr w:type="spellStart"/>
      <w:r>
        <w:t>Guith</w:t>
      </w:r>
      <w:proofErr w:type="spellEnd"/>
      <w:r>
        <w:t xml:space="preserve">, Acting Assoc. Gen. Counsel for </w:t>
      </w:r>
      <w:proofErr w:type="spellStart"/>
      <w:r>
        <w:t>Enf’t</w:t>
      </w:r>
      <w:proofErr w:type="spellEnd"/>
      <w:r>
        <w:t xml:space="preserve">, FEC, to Noah Bookbinder, Exec. Dir., CREW, and Melanie Sloan (Oct. 12, 2016), attached as </w:t>
      </w:r>
      <w:r w:rsidRPr="00580AAE">
        <w:t>Exhibit 3</w:t>
      </w:r>
      <w:r>
        <w:t xml:space="preserve">. </w:t>
      </w:r>
      <w:r w:rsidR="00F15F86">
        <w:t xml:space="preserve"> Beyond this, t</w:t>
      </w:r>
      <w:r w:rsidR="00183E00">
        <w:t xml:space="preserve">he FEC has neither informed Plaintiffs of any further action, filed any notice of action with the Court, nor made available any additional </w:t>
      </w:r>
      <w:r w:rsidR="00252893">
        <w:t xml:space="preserve">information </w:t>
      </w:r>
      <w:r w:rsidR="00183E00">
        <w:t xml:space="preserve">on its website about the investigation.  </w:t>
      </w:r>
      <w:r w:rsidR="007E4541">
        <w:rPr>
          <w:i/>
        </w:rPr>
        <w:t xml:space="preserve">See </w:t>
      </w:r>
      <w:r w:rsidR="007E4541">
        <w:t xml:space="preserve">FEC, Case Search Results, MUR 6538, </w:t>
      </w:r>
      <w:r w:rsidR="007E4541" w:rsidRPr="007E4541">
        <w:rPr>
          <w:i/>
        </w:rPr>
        <w:t>at</w:t>
      </w:r>
      <w:r w:rsidR="007E4541">
        <w:t xml:space="preserve"> </w:t>
      </w:r>
      <w:r w:rsidR="005A2419" w:rsidRPr="005A2419">
        <w:t>http://eqs.fec.gov/eqs/searcheqs</w:t>
      </w:r>
      <w:proofErr w:type="gramStart"/>
      <w:r w:rsidR="005A2419" w:rsidRPr="005A2419">
        <w:t>;</w:t>
      </w:r>
      <w:proofErr w:type="gramEnd"/>
      <w:r w:rsidR="005A2419">
        <w:br/>
      </w:r>
      <w:proofErr w:type="spellStart"/>
      <w:r w:rsidR="005A2419" w:rsidRPr="005A2419">
        <w:t>jsessionid</w:t>
      </w:r>
      <w:proofErr w:type="spellEnd"/>
      <w:r w:rsidR="005A2419" w:rsidRPr="005A2419">
        <w:t>=BACB2F12EA376D1977C0942E1C3FD075?SUBMIT=documents</w:t>
      </w:r>
      <w:r w:rsidR="007E4541">
        <w:t xml:space="preserve"> (last visited Nov. </w:t>
      </w:r>
      <w:r w:rsidR="007E4541" w:rsidRPr="009C5F77">
        <w:rPr>
          <w:highlight w:val="yellow"/>
        </w:rPr>
        <w:t>7</w:t>
      </w:r>
      <w:r w:rsidR="007E4541">
        <w:t xml:space="preserve">, 2016).  </w:t>
      </w:r>
      <w:r w:rsidR="00183E00" w:rsidRPr="007E4541">
        <w:t>Accordingly</w:t>
      </w:r>
      <w:r w:rsidR="00183E00">
        <w:t xml:space="preserve">, the FEC </w:t>
      </w:r>
      <w:r w:rsidR="00F15F86">
        <w:t xml:space="preserve">apparently </w:t>
      </w:r>
      <w:r w:rsidR="00183E00">
        <w:t xml:space="preserve">has failed to take </w:t>
      </w:r>
      <w:r w:rsidR="00183E00">
        <w:rPr>
          <w:i/>
        </w:rPr>
        <w:t>any</w:t>
      </w:r>
      <w:r w:rsidR="00183E00">
        <w:t xml:space="preserve"> action on the AJS matter on remand, despite this Court’s clear order that </w:t>
      </w:r>
      <w:r w:rsidR="00252893">
        <w:t>it</w:t>
      </w:r>
      <w:r w:rsidR="00183E00">
        <w:t xml:space="preserve"> do so </w:t>
      </w:r>
      <w:r w:rsidR="00F15F86">
        <w:t>with</w:t>
      </w:r>
      <w:r w:rsidR="00183E00">
        <w:t xml:space="preserve">in thirty days.  </w:t>
      </w:r>
      <w:r w:rsidR="00F15F86">
        <w:t xml:space="preserve">The FEC’s </w:t>
      </w:r>
      <w:r w:rsidR="00183E00">
        <w:t xml:space="preserve">abject failure </w:t>
      </w:r>
      <w:r w:rsidR="00F15F86">
        <w:t xml:space="preserve">to act </w:t>
      </w:r>
      <w:r w:rsidR="00183E00">
        <w:t xml:space="preserve">is </w:t>
      </w:r>
      <w:r w:rsidR="00D84764">
        <w:t xml:space="preserve">not in conformity with </w:t>
      </w:r>
      <w:r w:rsidR="00183E00">
        <w:t>the Court’s September 19</w:t>
      </w:r>
      <w:r w:rsidR="00523C90">
        <w:t xml:space="preserve"> </w:t>
      </w:r>
      <w:r w:rsidR="00183E00">
        <w:t xml:space="preserve">Order. </w:t>
      </w:r>
    </w:p>
    <w:p w14:paraId="744C5F4F" w14:textId="22BB397C" w:rsidR="00725E11" w:rsidRPr="00183E00" w:rsidRDefault="00725E11" w:rsidP="004800D0">
      <w:pPr>
        <w:pStyle w:val="Heading2"/>
      </w:pPr>
      <w:r>
        <w:t>The Controlling Commissioner</w:t>
      </w:r>
      <w:r w:rsidR="00795894">
        <w:t>s</w:t>
      </w:r>
      <w:r>
        <w:t>’ Analysis of AAN’</w:t>
      </w:r>
      <w:r w:rsidR="00384591">
        <w:t xml:space="preserve">s </w:t>
      </w:r>
      <w:proofErr w:type="gramStart"/>
      <w:r w:rsidR="00384591">
        <w:t>Spending</w:t>
      </w:r>
      <w:proofErr w:type="gramEnd"/>
      <w:r w:rsidR="00384591">
        <w:t xml:space="preserve"> on Remand Contravenes </w:t>
      </w:r>
      <w:r>
        <w:t>this Court’s Order</w:t>
      </w:r>
    </w:p>
    <w:p w14:paraId="21C7F58B" w14:textId="7D09F642" w:rsidR="00384591" w:rsidRDefault="00F15F86" w:rsidP="000C73E4">
      <w:pPr>
        <w:spacing w:line="480" w:lineRule="auto"/>
        <w:ind w:firstLine="720"/>
        <w:rPr>
          <w:szCs w:val="24"/>
        </w:rPr>
      </w:pPr>
      <w:r>
        <w:rPr>
          <w:szCs w:val="24"/>
        </w:rPr>
        <w:t xml:space="preserve">With regard to AAN, </w:t>
      </w:r>
      <w:r w:rsidR="00384591">
        <w:rPr>
          <w:szCs w:val="24"/>
        </w:rPr>
        <w:t xml:space="preserve">the controlling commissioners </w:t>
      </w:r>
      <w:r>
        <w:rPr>
          <w:szCs w:val="24"/>
        </w:rPr>
        <w:t xml:space="preserve">on remand </w:t>
      </w:r>
      <w:r w:rsidR="00384591">
        <w:rPr>
          <w:szCs w:val="24"/>
        </w:rPr>
        <w:t xml:space="preserve">recognized that this Court rejected their “erroneous understanding that the First Amendment effectively required the agency to exclude from its consideration all non-express advocacy in the context of disclosure.”  Ex. 2 at 4.  Nonetheless, </w:t>
      </w:r>
      <w:r w:rsidR="00D43A89">
        <w:rPr>
          <w:szCs w:val="24"/>
        </w:rPr>
        <w:t xml:space="preserve">they treated the Court’s judgment as at most an order that they begrudgingly consider a handful of ads </w:t>
      </w:r>
      <w:r w:rsidR="00FD3A20">
        <w:rPr>
          <w:szCs w:val="24"/>
        </w:rPr>
        <w:t xml:space="preserve">to be </w:t>
      </w:r>
      <w:r w:rsidR="00D43A89">
        <w:rPr>
          <w:szCs w:val="24"/>
        </w:rPr>
        <w:t>po</w:t>
      </w:r>
      <w:r w:rsidR="00F67B65">
        <w:rPr>
          <w:szCs w:val="24"/>
        </w:rPr>
        <w:t>litical, while maintaining the</w:t>
      </w:r>
      <w:r w:rsidR="00D43A89">
        <w:rPr>
          <w:szCs w:val="24"/>
        </w:rPr>
        <w:t xml:space="preserve"> status q</w:t>
      </w:r>
      <w:r>
        <w:rPr>
          <w:szCs w:val="24"/>
        </w:rPr>
        <w:t>uo</w:t>
      </w:r>
      <w:r w:rsidR="00D43A89">
        <w:rPr>
          <w:szCs w:val="24"/>
        </w:rPr>
        <w:t xml:space="preserve"> </w:t>
      </w:r>
      <w:r w:rsidR="00F67B65">
        <w:rPr>
          <w:szCs w:val="24"/>
        </w:rPr>
        <w:t>on their</w:t>
      </w:r>
      <w:r w:rsidR="00D43A89">
        <w:rPr>
          <w:szCs w:val="24"/>
        </w:rPr>
        <w:t xml:space="preserve"> entirely unreasonable decision to treat the </w:t>
      </w:r>
      <w:r w:rsidR="00F67B65">
        <w:rPr>
          <w:szCs w:val="24"/>
        </w:rPr>
        <w:t>vast majority</w:t>
      </w:r>
      <w:r w:rsidR="00D43A89">
        <w:rPr>
          <w:szCs w:val="24"/>
        </w:rPr>
        <w:t xml:space="preserve"> of AAN’s electioneering communications as non-electoral.</w:t>
      </w:r>
    </w:p>
    <w:p w14:paraId="37A0C2E8" w14:textId="1223F93F" w:rsidR="001C2961" w:rsidRDefault="005C7282" w:rsidP="000C73E4">
      <w:pPr>
        <w:spacing w:line="480" w:lineRule="auto"/>
        <w:ind w:firstLine="720"/>
        <w:rPr>
          <w:szCs w:val="24"/>
        </w:rPr>
      </w:pPr>
      <w:r>
        <w:rPr>
          <w:szCs w:val="24"/>
        </w:rPr>
        <w:t>For example, a</w:t>
      </w:r>
      <w:r w:rsidR="003F4A1F">
        <w:rPr>
          <w:szCs w:val="24"/>
        </w:rPr>
        <w:t xml:space="preserve">mong the ads the controlling commissioners found </w:t>
      </w:r>
      <w:r w:rsidR="003F4A1F">
        <w:rPr>
          <w:i/>
          <w:szCs w:val="24"/>
        </w:rPr>
        <w:t>not</w:t>
      </w:r>
      <w:r w:rsidR="003F4A1F">
        <w:rPr>
          <w:szCs w:val="24"/>
        </w:rPr>
        <w:t xml:space="preserve"> to </w:t>
      </w:r>
      <w:r w:rsidR="00F15F86">
        <w:rPr>
          <w:szCs w:val="24"/>
        </w:rPr>
        <w:t xml:space="preserve">have </w:t>
      </w:r>
      <w:r w:rsidR="003F4A1F">
        <w:rPr>
          <w:szCs w:val="24"/>
        </w:rPr>
        <w:t xml:space="preserve">an electoral purpose was AAN’s “Skype” ad, which, like AAN’s “Read </w:t>
      </w:r>
      <w:proofErr w:type="gramStart"/>
      <w:r w:rsidR="003F4A1F">
        <w:rPr>
          <w:szCs w:val="24"/>
        </w:rPr>
        <w:t>This</w:t>
      </w:r>
      <w:proofErr w:type="gramEnd"/>
      <w:r w:rsidR="003F4A1F">
        <w:rPr>
          <w:szCs w:val="24"/>
        </w:rPr>
        <w:t>” ad</w:t>
      </w:r>
      <w:r w:rsidR="00164864">
        <w:rPr>
          <w:szCs w:val="24"/>
        </w:rPr>
        <w:t xml:space="preserve"> that the Court highlighted</w:t>
      </w:r>
      <w:r w:rsidR="003F4A1F">
        <w:rPr>
          <w:szCs w:val="24"/>
        </w:rPr>
        <w:t>,</w:t>
      </w:r>
      <w:r w:rsidR="00E50026">
        <w:rPr>
          <w:szCs w:val="24"/>
        </w:rPr>
        <w:t xml:space="preserve"> accused</w:t>
      </w:r>
      <w:r w:rsidR="002F26E2">
        <w:rPr>
          <w:szCs w:val="24"/>
        </w:rPr>
        <w:t xml:space="preserve"> </w:t>
      </w:r>
      <w:r w:rsidR="003F4A1F">
        <w:rPr>
          <w:szCs w:val="24"/>
        </w:rPr>
        <w:t xml:space="preserve">sitting </w:t>
      </w:r>
      <w:r w:rsidR="00F15F86">
        <w:rPr>
          <w:szCs w:val="24"/>
        </w:rPr>
        <w:t>members of C</w:t>
      </w:r>
      <w:r w:rsidR="003F4A1F">
        <w:rPr>
          <w:szCs w:val="24"/>
        </w:rPr>
        <w:t xml:space="preserve">ongress of voting to support </w:t>
      </w:r>
      <w:r w:rsidR="00FC1E3D">
        <w:rPr>
          <w:szCs w:val="24"/>
        </w:rPr>
        <w:t xml:space="preserve">“Viagra for rapists.” </w:t>
      </w:r>
      <w:r w:rsidR="003F4A1F">
        <w:rPr>
          <w:szCs w:val="24"/>
        </w:rPr>
        <w:t xml:space="preserve"> Ex. 2 at 14.</w:t>
      </w:r>
      <w:r w:rsidR="00A02B27">
        <w:rPr>
          <w:rStyle w:val="FootnoteReference"/>
          <w:szCs w:val="24"/>
        </w:rPr>
        <w:footnoteReference w:id="3"/>
      </w:r>
      <w:r w:rsidR="003F4A1F">
        <w:rPr>
          <w:szCs w:val="24"/>
        </w:rPr>
        <w:t xml:space="preserve">  Similarly excluded was AAN’s ad revealingly titled “</w:t>
      </w:r>
      <w:r w:rsidR="003F4A1F" w:rsidRPr="003F4A1F">
        <w:rPr>
          <w:i/>
          <w:szCs w:val="24"/>
        </w:rPr>
        <w:t>Quit</w:t>
      </w:r>
      <w:r w:rsidR="003F4A1F">
        <w:rPr>
          <w:szCs w:val="24"/>
        </w:rPr>
        <w:t xml:space="preserve"> </w:t>
      </w:r>
      <w:proofErr w:type="spellStart"/>
      <w:r w:rsidR="003F4A1F">
        <w:rPr>
          <w:szCs w:val="24"/>
        </w:rPr>
        <w:t>Critz</w:t>
      </w:r>
      <w:proofErr w:type="spellEnd"/>
      <w:r w:rsidR="003F4A1F">
        <w:rPr>
          <w:szCs w:val="24"/>
        </w:rPr>
        <w:t xml:space="preserve">,” with </w:t>
      </w:r>
      <w:r w:rsidR="00F15F86">
        <w:rPr>
          <w:szCs w:val="24"/>
        </w:rPr>
        <w:t>then-</w:t>
      </w:r>
      <w:r w:rsidR="003F4A1F">
        <w:rPr>
          <w:szCs w:val="24"/>
        </w:rPr>
        <w:t xml:space="preserve">sitting </w:t>
      </w:r>
      <w:r w:rsidR="00F15F86">
        <w:rPr>
          <w:szCs w:val="24"/>
        </w:rPr>
        <w:t xml:space="preserve">Rep. </w:t>
      </w:r>
      <w:r w:rsidR="003F4A1F">
        <w:rPr>
          <w:szCs w:val="24"/>
        </w:rPr>
        <w:t xml:space="preserve">Mark </w:t>
      </w:r>
      <w:proofErr w:type="spellStart"/>
      <w:r w:rsidR="003F4A1F">
        <w:rPr>
          <w:szCs w:val="24"/>
        </w:rPr>
        <w:t>Critz</w:t>
      </w:r>
      <w:proofErr w:type="spellEnd"/>
      <w:r w:rsidR="003F4A1F">
        <w:rPr>
          <w:szCs w:val="24"/>
        </w:rPr>
        <w:t xml:space="preserve"> </w:t>
      </w:r>
      <w:r w:rsidR="00F15F86">
        <w:rPr>
          <w:szCs w:val="24"/>
        </w:rPr>
        <w:t xml:space="preserve">(D-PA) </w:t>
      </w:r>
      <w:r w:rsidR="003F4A1F">
        <w:rPr>
          <w:szCs w:val="24"/>
        </w:rPr>
        <w:t xml:space="preserve">the subject </w:t>
      </w:r>
      <w:r w:rsidR="000C73E4">
        <w:rPr>
          <w:szCs w:val="24"/>
        </w:rPr>
        <w:t xml:space="preserve">of the </w:t>
      </w:r>
      <w:proofErr w:type="gramStart"/>
      <w:r w:rsidR="000C73E4">
        <w:rPr>
          <w:szCs w:val="24"/>
        </w:rPr>
        <w:t>ad.</w:t>
      </w:r>
      <w:proofErr w:type="gramEnd"/>
      <w:r w:rsidR="000C73E4">
        <w:rPr>
          <w:szCs w:val="24"/>
        </w:rPr>
        <w:t xml:space="preserve"> </w:t>
      </w:r>
      <w:r w:rsidR="003F4A1F">
        <w:rPr>
          <w:szCs w:val="24"/>
        </w:rPr>
        <w:t xml:space="preserve"> </w:t>
      </w:r>
      <w:r w:rsidR="00FD3A20" w:rsidRPr="001C2961">
        <w:rPr>
          <w:szCs w:val="24"/>
        </w:rPr>
        <w:t>Ex. 2</w:t>
      </w:r>
      <w:r w:rsidR="00FD3A20">
        <w:rPr>
          <w:i/>
          <w:szCs w:val="24"/>
        </w:rPr>
        <w:t xml:space="preserve"> </w:t>
      </w:r>
      <w:r w:rsidR="003F4A1F">
        <w:rPr>
          <w:szCs w:val="24"/>
        </w:rPr>
        <w:t xml:space="preserve">at 8, 10 (emphasis added).  </w:t>
      </w:r>
      <w:r w:rsidR="000C73E4">
        <w:rPr>
          <w:szCs w:val="24"/>
        </w:rPr>
        <w:t xml:space="preserve">Also </w:t>
      </w:r>
      <w:r w:rsidR="00164864">
        <w:rPr>
          <w:szCs w:val="24"/>
        </w:rPr>
        <w:t xml:space="preserve">treated as non-political </w:t>
      </w:r>
      <w:r w:rsidR="000C73E4">
        <w:rPr>
          <w:szCs w:val="24"/>
        </w:rPr>
        <w:t>was AAN’s “S</w:t>
      </w:r>
      <w:r w:rsidR="00D94C8D">
        <w:rPr>
          <w:szCs w:val="24"/>
        </w:rPr>
        <w:t>ecret”</w:t>
      </w:r>
      <w:r w:rsidR="00164864">
        <w:rPr>
          <w:szCs w:val="24"/>
        </w:rPr>
        <w:t xml:space="preserve"> ad,</w:t>
      </w:r>
      <w:r w:rsidR="00D94C8D">
        <w:rPr>
          <w:szCs w:val="24"/>
        </w:rPr>
        <w:t xml:space="preserve"> which accused </w:t>
      </w:r>
      <w:r w:rsidR="00F15F86">
        <w:rPr>
          <w:szCs w:val="24"/>
        </w:rPr>
        <w:t xml:space="preserve">Reps. </w:t>
      </w:r>
      <w:r w:rsidR="000C73E4">
        <w:rPr>
          <w:szCs w:val="24"/>
        </w:rPr>
        <w:t xml:space="preserve">Mark </w:t>
      </w:r>
      <w:proofErr w:type="spellStart"/>
      <w:r w:rsidR="000C73E4">
        <w:rPr>
          <w:szCs w:val="24"/>
        </w:rPr>
        <w:t>Schauer</w:t>
      </w:r>
      <w:proofErr w:type="spellEnd"/>
      <w:r w:rsidR="00D94C8D">
        <w:rPr>
          <w:szCs w:val="24"/>
        </w:rPr>
        <w:t xml:space="preserve"> </w:t>
      </w:r>
      <w:r w:rsidR="00F15F86">
        <w:rPr>
          <w:szCs w:val="24"/>
        </w:rPr>
        <w:t xml:space="preserve">(D-MI) </w:t>
      </w:r>
      <w:r w:rsidR="00D94C8D">
        <w:rPr>
          <w:szCs w:val="24"/>
        </w:rPr>
        <w:t xml:space="preserve">and Ed </w:t>
      </w:r>
      <w:proofErr w:type="spellStart"/>
      <w:r w:rsidR="00D94C8D">
        <w:rPr>
          <w:szCs w:val="24"/>
        </w:rPr>
        <w:t>Perlmutter</w:t>
      </w:r>
      <w:proofErr w:type="spellEnd"/>
      <w:r w:rsidR="000C73E4">
        <w:rPr>
          <w:szCs w:val="24"/>
        </w:rPr>
        <w:t xml:space="preserve"> </w:t>
      </w:r>
      <w:r w:rsidR="00F15F86">
        <w:rPr>
          <w:szCs w:val="24"/>
        </w:rPr>
        <w:t xml:space="preserve">(D-CO) </w:t>
      </w:r>
      <w:r w:rsidR="000C73E4">
        <w:rPr>
          <w:szCs w:val="24"/>
        </w:rPr>
        <w:t>of voting to “</w:t>
      </w:r>
      <w:proofErr w:type="spellStart"/>
      <w:r w:rsidR="000C73E4">
        <w:rPr>
          <w:szCs w:val="24"/>
        </w:rPr>
        <w:t>spen</w:t>
      </w:r>
      <w:proofErr w:type="spellEnd"/>
      <w:r w:rsidR="000C73E4">
        <w:rPr>
          <w:szCs w:val="24"/>
        </w:rPr>
        <w:t xml:space="preserve">[d] [the </w:t>
      </w:r>
      <w:r w:rsidR="00F15F86">
        <w:rPr>
          <w:szCs w:val="24"/>
        </w:rPr>
        <w:t>public’s</w:t>
      </w:r>
      <w:r w:rsidR="000C73E4">
        <w:rPr>
          <w:szCs w:val="24"/>
        </w:rPr>
        <w:t xml:space="preserve">] money on health insurance for illegal immigrants” and </w:t>
      </w:r>
      <w:r w:rsidR="00F15F86">
        <w:rPr>
          <w:szCs w:val="24"/>
        </w:rPr>
        <w:t>urge</w:t>
      </w:r>
      <w:r w:rsidR="00AA1D86">
        <w:rPr>
          <w:szCs w:val="24"/>
        </w:rPr>
        <w:t>d</w:t>
      </w:r>
      <w:r w:rsidR="00F15F86">
        <w:rPr>
          <w:szCs w:val="24"/>
        </w:rPr>
        <w:t xml:space="preserve"> </w:t>
      </w:r>
      <w:r w:rsidR="004110E9">
        <w:rPr>
          <w:szCs w:val="24"/>
        </w:rPr>
        <w:t>voters, “[</w:t>
      </w:r>
      <w:proofErr w:type="spellStart"/>
      <w:r w:rsidR="004110E9">
        <w:rPr>
          <w:szCs w:val="24"/>
        </w:rPr>
        <w:t>i</w:t>
      </w:r>
      <w:proofErr w:type="spellEnd"/>
      <w:r w:rsidR="004110E9">
        <w:rPr>
          <w:szCs w:val="24"/>
        </w:rPr>
        <w:t xml:space="preserve">]n November, </w:t>
      </w:r>
      <w:r w:rsidR="000C73E4">
        <w:rPr>
          <w:szCs w:val="24"/>
        </w:rPr>
        <w:t xml:space="preserve">tell Congressman </w:t>
      </w:r>
      <w:r w:rsidR="00D94C8D">
        <w:rPr>
          <w:szCs w:val="24"/>
        </w:rPr>
        <w:t>[</w:t>
      </w:r>
      <w:r w:rsidR="000C73E4">
        <w:rPr>
          <w:szCs w:val="24"/>
        </w:rPr>
        <w:t xml:space="preserve">Mark </w:t>
      </w:r>
      <w:proofErr w:type="spellStart"/>
      <w:r w:rsidR="000C73E4">
        <w:rPr>
          <w:szCs w:val="24"/>
        </w:rPr>
        <w:t>Schauer</w:t>
      </w:r>
      <w:proofErr w:type="spellEnd"/>
      <w:r w:rsidR="00D94C8D">
        <w:rPr>
          <w:szCs w:val="24"/>
        </w:rPr>
        <w:t xml:space="preserve">/Ed </w:t>
      </w:r>
      <w:proofErr w:type="spellStart"/>
      <w:r w:rsidR="00D94C8D">
        <w:rPr>
          <w:szCs w:val="24"/>
        </w:rPr>
        <w:t>Perlmutter</w:t>
      </w:r>
      <w:proofErr w:type="spellEnd"/>
      <w:r w:rsidR="00D94C8D">
        <w:rPr>
          <w:szCs w:val="24"/>
        </w:rPr>
        <w:t>]</w:t>
      </w:r>
      <w:r w:rsidR="004110E9">
        <w:rPr>
          <w:szCs w:val="24"/>
        </w:rPr>
        <w:t xml:space="preserve"> to vote for repeal” of Obamacare</w:t>
      </w:r>
      <w:r w:rsidR="004B6D63">
        <w:rPr>
          <w:szCs w:val="24"/>
        </w:rPr>
        <w:t>.</w:t>
      </w:r>
      <w:r w:rsidR="00872FD1">
        <w:rPr>
          <w:szCs w:val="24"/>
        </w:rPr>
        <w:t xml:space="preserve"> </w:t>
      </w:r>
      <w:r w:rsidR="000C73E4">
        <w:rPr>
          <w:szCs w:val="24"/>
        </w:rPr>
        <w:t xml:space="preserve"> Ex. 2 at 13</w:t>
      </w:r>
      <w:r w:rsidR="00C362E8">
        <w:rPr>
          <w:szCs w:val="24"/>
        </w:rPr>
        <w:t>–</w:t>
      </w:r>
      <w:r w:rsidR="000C73E4">
        <w:rPr>
          <w:szCs w:val="24"/>
        </w:rPr>
        <w:t>14.</w:t>
      </w:r>
      <w:r w:rsidR="004B6D63">
        <w:rPr>
          <w:rStyle w:val="FootnoteReference"/>
          <w:szCs w:val="24"/>
        </w:rPr>
        <w:footnoteReference w:id="4"/>
      </w:r>
      <w:r w:rsidR="000C73E4">
        <w:rPr>
          <w:szCs w:val="24"/>
        </w:rPr>
        <w:t xml:space="preserve">  Indeed, </w:t>
      </w:r>
      <w:r w:rsidR="00D81A83">
        <w:rPr>
          <w:szCs w:val="24"/>
        </w:rPr>
        <w:t xml:space="preserve">the controlling commissioners </w:t>
      </w:r>
      <w:r w:rsidR="000C73E4" w:rsidRPr="00D84764">
        <w:rPr>
          <w:szCs w:val="24"/>
        </w:rPr>
        <w:t xml:space="preserve">excluded </w:t>
      </w:r>
      <w:r w:rsidR="000C73E4" w:rsidRPr="001C2961">
        <w:rPr>
          <w:i/>
          <w:szCs w:val="24"/>
        </w:rPr>
        <w:t>all</w:t>
      </w:r>
      <w:r w:rsidR="000C73E4" w:rsidRPr="00D84764">
        <w:rPr>
          <w:szCs w:val="24"/>
        </w:rPr>
        <w:t xml:space="preserve"> of AAN’s ads that </w:t>
      </w:r>
      <w:r w:rsidR="00D81A83">
        <w:rPr>
          <w:szCs w:val="24"/>
        </w:rPr>
        <w:t xml:space="preserve">pressed </w:t>
      </w:r>
      <w:r w:rsidR="00FC1E3D">
        <w:rPr>
          <w:szCs w:val="24"/>
        </w:rPr>
        <w:t xml:space="preserve">voters </w:t>
      </w:r>
      <w:r w:rsidR="00164864">
        <w:rPr>
          <w:szCs w:val="24"/>
        </w:rPr>
        <w:t xml:space="preserve">to </w:t>
      </w:r>
      <w:r w:rsidR="00E1555E">
        <w:rPr>
          <w:szCs w:val="24"/>
        </w:rPr>
        <w:t xml:space="preserve">take action </w:t>
      </w:r>
      <w:r w:rsidR="00FC1E3D">
        <w:rPr>
          <w:szCs w:val="24"/>
        </w:rPr>
        <w:t>“in November</w:t>
      </w:r>
      <w:r w:rsidR="00FD3A20">
        <w:rPr>
          <w:szCs w:val="24"/>
        </w:rPr>
        <w:t>,</w:t>
      </w:r>
      <w:r w:rsidR="00FC1E3D">
        <w:rPr>
          <w:szCs w:val="24"/>
        </w:rPr>
        <w:t>”</w:t>
      </w:r>
      <w:r w:rsidR="00E1555E">
        <w:rPr>
          <w:szCs w:val="24"/>
        </w:rPr>
        <w:t xml:space="preserve"> finding the fact that the election was occurring in November to be no more than mere coincidence</w:t>
      </w:r>
      <w:r w:rsidR="00FD3A20">
        <w:rPr>
          <w:szCs w:val="24"/>
        </w:rPr>
        <w:t>.</w:t>
      </w:r>
      <w:r w:rsidR="00FC1E3D">
        <w:rPr>
          <w:szCs w:val="24"/>
        </w:rPr>
        <w:t xml:space="preserve"> </w:t>
      </w:r>
      <w:r w:rsidR="00AA1D86">
        <w:rPr>
          <w:szCs w:val="24"/>
        </w:rPr>
        <w:t xml:space="preserve"> </w:t>
      </w:r>
      <w:r w:rsidR="00AA1D86">
        <w:rPr>
          <w:i/>
          <w:szCs w:val="24"/>
        </w:rPr>
        <w:t>See, e.g.</w:t>
      </w:r>
      <w:r w:rsidR="00AA1D86">
        <w:rPr>
          <w:szCs w:val="24"/>
        </w:rPr>
        <w:t>, Ex. 2 at 9</w:t>
      </w:r>
      <w:r w:rsidR="00C362E8">
        <w:rPr>
          <w:szCs w:val="24"/>
        </w:rPr>
        <w:t>–</w:t>
      </w:r>
      <w:r w:rsidR="00AA1D86">
        <w:rPr>
          <w:szCs w:val="24"/>
        </w:rPr>
        <w:t xml:space="preserve">10 (discussing “Ridiculous” ad that urged voters to “Call Charlie Wilson.  Tell him in November.  Keep the Tax Cuts.  Ditch the </w:t>
      </w:r>
      <w:r w:rsidR="001C2961">
        <w:rPr>
          <w:szCs w:val="24"/>
        </w:rPr>
        <w:t>Stimulus</w:t>
      </w:r>
      <w:r w:rsidR="00AA1D86">
        <w:rPr>
          <w:szCs w:val="24"/>
        </w:rPr>
        <w:t>.” and “Wallpaper” ad that encouraged voters to “Call Congressman [Schrader/</w:t>
      </w:r>
      <w:proofErr w:type="spellStart"/>
      <w:r w:rsidR="00AA1D86">
        <w:rPr>
          <w:szCs w:val="24"/>
        </w:rPr>
        <w:t>Kagen</w:t>
      </w:r>
      <w:proofErr w:type="spellEnd"/>
      <w:r w:rsidR="00AA1D86">
        <w:rPr>
          <w:szCs w:val="24"/>
        </w:rPr>
        <w:t>/Donnelly/</w:t>
      </w:r>
      <w:proofErr w:type="spellStart"/>
      <w:r w:rsidR="00AA1D86">
        <w:rPr>
          <w:szCs w:val="24"/>
        </w:rPr>
        <w:t>Perlmutter</w:t>
      </w:r>
      <w:proofErr w:type="spellEnd"/>
      <w:r w:rsidR="00AA1D86">
        <w:rPr>
          <w:szCs w:val="24"/>
        </w:rPr>
        <w:t>/Heinrich] this November.  Vote to cut taxes.”).</w:t>
      </w:r>
    </w:p>
    <w:p w14:paraId="2244B4F6" w14:textId="3FB870CA" w:rsidR="0040509B" w:rsidRDefault="00F02B64" w:rsidP="00811111">
      <w:pPr>
        <w:spacing w:line="480" w:lineRule="auto"/>
        <w:ind w:firstLine="720"/>
        <w:rPr>
          <w:szCs w:val="24"/>
        </w:rPr>
      </w:pPr>
      <w:r>
        <w:rPr>
          <w:szCs w:val="24"/>
        </w:rPr>
        <w:t>In the end, in direct contravention of this Court’s order, the controlling commissioners once again reached conclusions that “</w:t>
      </w:r>
      <w:proofErr w:type="gramStart"/>
      <w:r>
        <w:rPr>
          <w:szCs w:val="24"/>
        </w:rPr>
        <w:t>blink</w:t>
      </w:r>
      <w:r w:rsidR="005D7020">
        <w:rPr>
          <w:szCs w:val="24"/>
        </w:rPr>
        <w:t>[</w:t>
      </w:r>
      <w:proofErr w:type="gramEnd"/>
      <w:r w:rsidR="005D7020">
        <w:rPr>
          <w:szCs w:val="24"/>
        </w:rPr>
        <w:t>]</w:t>
      </w:r>
      <w:r>
        <w:rPr>
          <w:szCs w:val="24"/>
        </w:rPr>
        <w:t xml:space="preserve"> reality” by finding </w:t>
      </w:r>
      <w:r w:rsidR="00D81A83">
        <w:rPr>
          <w:szCs w:val="24"/>
        </w:rPr>
        <w:t xml:space="preserve">that nearly all </w:t>
      </w:r>
      <w:r>
        <w:rPr>
          <w:szCs w:val="24"/>
        </w:rPr>
        <w:t>of AAN’s electioneering communications do not indicate a campaign-related purpose.</w:t>
      </w:r>
      <w:r w:rsidR="004602DB">
        <w:rPr>
          <w:szCs w:val="24"/>
        </w:rPr>
        <w:t xml:space="preserve">  T</w:t>
      </w:r>
      <w:r w:rsidR="0040509B">
        <w:rPr>
          <w:szCs w:val="24"/>
        </w:rPr>
        <w:t xml:space="preserve">he </w:t>
      </w:r>
      <w:r w:rsidR="00161E03">
        <w:rPr>
          <w:szCs w:val="24"/>
        </w:rPr>
        <w:t xml:space="preserve">test they created to determine the electoral purposes of an ad is inconsistent with the Court’s judgment and continues to rest on impermissible interpretations of law.  Further, their application of that test is arbitrary and capricious, again in contravention of this Court’s order. </w:t>
      </w:r>
    </w:p>
    <w:p w14:paraId="32A80F73" w14:textId="091DA787" w:rsidR="00161E03" w:rsidRPr="001B5926" w:rsidRDefault="004F724E" w:rsidP="00C642A8">
      <w:pPr>
        <w:pStyle w:val="Heading3"/>
      </w:pPr>
      <w:r w:rsidRPr="001B5926">
        <w:t>T</w:t>
      </w:r>
      <w:r w:rsidR="00161E03" w:rsidRPr="001B5926">
        <w:t>he Controlling Commissioners</w:t>
      </w:r>
      <w:r w:rsidRPr="001B5926">
        <w:t>’ Legal Standard</w:t>
      </w:r>
      <w:r w:rsidR="00161E03" w:rsidRPr="001B5926">
        <w:t xml:space="preserve"> </w:t>
      </w:r>
      <w:r w:rsidR="00B96F4E">
        <w:t>I</w:t>
      </w:r>
      <w:r w:rsidR="00161E03" w:rsidRPr="001B5926">
        <w:t>s Contrary to Law and Inconsistent with the Court’s Order</w:t>
      </w:r>
    </w:p>
    <w:p w14:paraId="51A18B11" w14:textId="039383AD" w:rsidR="00A476D6" w:rsidRDefault="005D7020" w:rsidP="000C73E4">
      <w:pPr>
        <w:spacing w:line="480" w:lineRule="auto"/>
        <w:ind w:firstLine="720"/>
        <w:rPr>
          <w:szCs w:val="24"/>
        </w:rPr>
      </w:pPr>
      <w:r>
        <w:rPr>
          <w:szCs w:val="24"/>
        </w:rPr>
        <w:t>T</w:t>
      </w:r>
      <w:r w:rsidR="00A75B25">
        <w:rPr>
          <w:szCs w:val="24"/>
        </w:rPr>
        <w:t xml:space="preserve">he controlling </w:t>
      </w:r>
      <w:r w:rsidR="004F724E">
        <w:rPr>
          <w:szCs w:val="24"/>
        </w:rPr>
        <w:t>commissioner</w:t>
      </w:r>
      <w:r w:rsidR="00795894">
        <w:rPr>
          <w:szCs w:val="24"/>
        </w:rPr>
        <w:t>s</w:t>
      </w:r>
      <w:r w:rsidR="00A75B25">
        <w:rPr>
          <w:szCs w:val="24"/>
        </w:rPr>
        <w:t xml:space="preserve"> </w:t>
      </w:r>
      <w:r w:rsidR="00CF2E22">
        <w:rPr>
          <w:szCs w:val="24"/>
        </w:rPr>
        <w:t>concluded</w:t>
      </w:r>
      <w:r w:rsidR="00161E03">
        <w:rPr>
          <w:szCs w:val="24"/>
        </w:rPr>
        <w:t xml:space="preserve"> </w:t>
      </w:r>
      <w:r>
        <w:rPr>
          <w:szCs w:val="24"/>
        </w:rPr>
        <w:t xml:space="preserve">that </w:t>
      </w:r>
      <w:r w:rsidR="00161E03">
        <w:rPr>
          <w:szCs w:val="24"/>
        </w:rPr>
        <w:t xml:space="preserve">the vast majority of AAN’s ads </w:t>
      </w:r>
      <w:r w:rsidR="00CF2E22">
        <w:rPr>
          <w:szCs w:val="24"/>
        </w:rPr>
        <w:t>were</w:t>
      </w:r>
      <w:r w:rsidR="00C534F3">
        <w:rPr>
          <w:szCs w:val="24"/>
        </w:rPr>
        <w:t xml:space="preserve"> non</w:t>
      </w:r>
      <w:r w:rsidR="00CF2E22">
        <w:rPr>
          <w:szCs w:val="24"/>
        </w:rPr>
        <w:t>-</w:t>
      </w:r>
      <w:r w:rsidR="00C534F3">
        <w:rPr>
          <w:szCs w:val="24"/>
        </w:rPr>
        <w:t xml:space="preserve">electoral by </w:t>
      </w:r>
      <w:r w:rsidR="00281876">
        <w:rPr>
          <w:szCs w:val="24"/>
        </w:rPr>
        <w:t>on</w:t>
      </w:r>
      <w:r>
        <w:rPr>
          <w:szCs w:val="24"/>
        </w:rPr>
        <w:t>c</w:t>
      </w:r>
      <w:r w:rsidR="00281876">
        <w:rPr>
          <w:szCs w:val="24"/>
        </w:rPr>
        <w:t xml:space="preserve">e again </w:t>
      </w:r>
      <w:r w:rsidR="00A75B25">
        <w:rPr>
          <w:szCs w:val="24"/>
        </w:rPr>
        <w:t xml:space="preserve">misconstruing the Supreme Court’s case law on the major purpose test and the campaign-related nature of electioneering communications.  </w:t>
      </w:r>
      <w:r w:rsidR="00D441C0">
        <w:rPr>
          <w:szCs w:val="24"/>
        </w:rPr>
        <w:t xml:space="preserve">In </w:t>
      </w:r>
      <w:r w:rsidR="004A50F9">
        <w:rPr>
          <w:szCs w:val="24"/>
        </w:rPr>
        <w:t>relevant part</w:t>
      </w:r>
      <w:r w:rsidR="00D441C0">
        <w:rPr>
          <w:szCs w:val="24"/>
        </w:rPr>
        <w:t xml:space="preserve">, the controlling commissioners </w:t>
      </w:r>
      <w:r w:rsidR="004A50F9">
        <w:rPr>
          <w:szCs w:val="24"/>
        </w:rPr>
        <w:t xml:space="preserve">adopted a test that finds </w:t>
      </w:r>
      <w:r w:rsidR="00D441C0">
        <w:rPr>
          <w:szCs w:val="24"/>
        </w:rPr>
        <w:t xml:space="preserve">that </w:t>
      </w:r>
      <w:r w:rsidR="00523C90">
        <w:rPr>
          <w:szCs w:val="24"/>
        </w:rPr>
        <w:t>an electioneering communication</w:t>
      </w:r>
      <w:r w:rsidR="004A50F9" w:rsidRPr="004A50F9">
        <w:t xml:space="preserve"> </w:t>
      </w:r>
      <w:r w:rsidR="004A50F9" w:rsidRPr="004A50F9">
        <w:rPr>
          <w:szCs w:val="24"/>
        </w:rPr>
        <w:t>is not designed to influence elections</w:t>
      </w:r>
      <w:r w:rsidR="004A50F9">
        <w:rPr>
          <w:szCs w:val="24"/>
        </w:rPr>
        <w:t xml:space="preserve"> if it (1) </w:t>
      </w:r>
      <w:r w:rsidR="00D441C0">
        <w:rPr>
          <w:szCs w:val="24"/>
        </w:rPr>
        <w:t>“focuses on</w:t>
      </w:r>
      <w:r w:rsidR="00281876">
        <w:rPr>
          <w:szCs w:val="24"/>
        </w:rPr>
        <w:t xml:space="preserve"> issues important to the group”</w:t>
      </w:r>
      <w:r w:rsidR="00587257">
        <w:rPr>
          <w:szCs w:val="24"/>
        </w:rPr>
        <w:t xml:space="preserve"> rather than on personal attacks </w:t>
      </w:r>
      <w:r w:rsidR="00D441C0">
        <w:rPr>
          <w:szCs w:val="24"/>
        </w:rPr>
        <w:t xml:space="preserve">and </w:t>
      </w:r>
      <w:r w:rsidR="004A50F9">
        <w:rPr>
          <w:szCs w:val="24"/>
        </w:rPr>
        <w:t>(2) </w:t>
      </w:r>
      <w:r w:rsidR="00EE5988">
        <w:rPr>
          <w:szCs w:val="24"/>
        </w:rPr>
        <w:t xml:space="preserve">includes a </w:t>
      </w:r>
      <w:r w:rsidR="00D441C0">
        <w:rPr>
          <w:szCs w:val="24"/>
        </w:rPr>
        <w:t xml:space="preserve">call </w:t>
      </w:r>
      <w:r>
        <w:rPr>
          <w:szCs w:val="24"/>
        </w:rPr>
        <w:t xml:space="preserve">to </w:t>
      </w:r>
      <w:r w:rsidR="00D441C0">
        <w:rPr>
          <w:szCs w:val="24"/>
        </w:rPr>
        <w:t>action</w:t>
      </w:r>
      <w:r w:rsidR="00345A9F">
        <w:rPr>
          <w:szCs w:val="24"/>
        </w:rPr>
        <w:t xml:space="preserve"> </w:t>
      </w:r>
      <w:r w:rsidR="00D441C0">
        <w:rPr>
          <w:szCs w:val="24"/>
        </w:rPr>
        <w:t>that “relate</w:t>
      </w:r>
      <w:r w:rsidR="00587257">
        <w:rPr>
          <w:szCs w:val="24"/>
        </w:rPr>
        <w:t>s</w:t>
      </w:r>
      <w:r w:rsidR="00D441C0">
        <w:rPr>
          <w:szCs w:val="24"/>
        </w:rPr>
        <w:t xml:space="preserve"> to the speaker’s issue agenda</w:t>
      </w:r>
      <w:r w:rsidR="00587257">
        <w:rPr>
          <w:szCs w:val="24"/>
        </w:rPr>
        <w:t>” rather than</w:t>
      </w:r>
      <w:r w:rsidR="00D441C0">
        <w:rPr>
          <w:szCs w:val="24"/>
        </w:rPr>
        <w:t xml:space="preserve"> the “election or defeat of federal candidates</w:t>
      </w:r>
      <w:r w:rsidR="004A50F9">
        <w:rPr>
          <w:szCs w:val="24"/>
        </w:rPr>
        <w:t>.</w:t>
      </w:r>
      <w:r w:rsidR="00D441C0">
        <w:rPr>
          <w:szCs w:val="24"/>
        </w:rPr>
        <w:t>”  Ex. 2 at 6</w:t>
      </w:r>
      <w:r w:rsidR="002D7A6E">
        <w:rPr>
          <w:szCs w:val="24"/>
        </w:rPr>
        <w:t>;</w:t>
      </w:r>
      <w:r w:rsidR="002D7A6E" w:rsidRPr="002D7A6E">
        <w:rPr>
          <w:i/>
          <w:szCs w:val="24"/>
        </w:rPr>
        <w:t xml:space="preserve"> </w:t>
      </w:r>
      <w:r w:rsidR="002D7A6E">
        <w:rPr>
          <w:i/>
          <w:szCs w:val="24"/>
        </w:rPr>
        <w:t>see also id.</w:t>
      </w:r>
      <w:r w:rsidR="002D7A6E">
        <w:rPr>
          <w:szCs w:val="24"/>
        </w:rPr>
        <w:t xml:space="preserve"> </w:t>
      </w:r>
      <w:proofErr w:type="gramStart"/>
      <w:r w:rsidR="002D7A6E">
        <w:rPr>
          <w:szCs w:val="24"/>
        </w:rPr>
        <w:t>at</w:t>
      </w:r>
      <w:proofErr w:type="gramEnd"/>
      <w:r w:rsidR="002D7A6E">
        <w:rPr>
          <w:szCs w:val="24"/>
        </w:rPr>
        <w:t xml:space="preserve"> 9 (finding ads </w:t>
      </w:r>
      <w:r>
        <w:rPr>
          <w:szCs w:val="24"/>
        </w:rPr>
        <w:t xml:space="preserve">that </w:t>
      </w:r>
      <w:r w:rsidR="002D7A6E">
        <w:rPr>
          <w:szCs w:val="24"/>
        </w:rPr>
        <w:t>“focus[] on government spending and tax cuts and call</w:t>
      </w:r>
      <w:r w:rsidR="004A50F9">
        <w:rPr>
          <w:szCs w:val="24"/>
        </w:rPr>
        <w:t>[]</w:t>
      </w:r>
      <w:r w:rsidR="002D7A6E">
        <w:rPr>
          <w:szCs w:val="24"/>
        </w:rPr>
        <w:t xml:space="preserve"> on viewers to contact the named officeholders to urge them to take specific legislative actions” are not election</w:t>
      </w:r>
      <w:r w:rsidR="00731FB2">
        <w:rPr>
          <w:szCs w:val="24"/>
        </w:rPr>
        <w:t>-</w:t>
      </w:r>
      <w:r w:rsidR="002D7A6E">
        <w:rPr>
          <w:szCs w:val="24"/>
        </w:rPr>
        <w:t>related).</w:t>
      </w:r>
      <w:r w:rsidR="00FD14C0">
        <w:rPr>
          <w:szCs w:val="24"/>
        </w:rPr>
        <w:t xml:space="preserve">  That </w:t>
      </w:r>
      <w:r w:rsidR="00ED70B9">
        <w:rPr>
          <w:szCs w:val="24"/>
        </w:rPr>
        <w:t>conclusion</w:t>
      </w:r>
      <w:r w:rsidR="00FD14C0">
        <w:rPr>
          <w:szCs w:val="24"/>
        </w:rPr>
        <w:t xml:space="preserve"> </w:t>
      </w:r>
      <w:r w:rsidR="00F25613">
        <w:rPr>
          <w:szCs w:val="24"/>
        </w:rPr>
        <w:t>is contrary to law</w:t>
      </w:r>
      <w:r w:rsidR="00FD14C0">
        <w:rPr>
          <w:szCs w:val="24"/>
        </w:rPr>
        <w:t xml:space="preserve"> and, to the extent it </w:t>
      </w:r>
      <w:r>
        <w:rPr>
          <w:szCs w:val="24"/>
        </w:rPr>
        <w:t xml:space="preserve">resulted in </w:t>
      </w:r>
      <w:r w:rsidR="00FD14C0">
        <w:rPr>
          <w:szCs w:val="24"/>
        </w:rPr>
        <w:t>the controlling commissioners find</w:t>
      </w:r>
      <w:r>
        <w:rPr>
          <w:szCs w:val="24"/>
        </w:rPr>
        <w:t>ing</w:t>
      </w:r>
      <w:r w:rsidR="00FD14C0">
        <w:rPr>
          <w:szCs w:val="24"/>
        </w:rPr>
        <w:t xml:space="preserve"> many or even most of AAN’s </w:t>
      </w:r>
      <w:r w:rsidR="00523C90">
        <w:rPr>
          <w:szCs w:val="24"/>
        </w:rPr>
        <w:t>electioneering communications</w:t>
      </w:r>
      <w:r w:rsidR="00FD14C0">
        <w:rPr>
          <w:szCs w:val="24"/>
        </w:rPr>
        <w:t xml:space="preserve"> are not electoral, is</w:t>
      </w:r>
      <w:r w:rsidR="002D7A6E">
        <w:rPr>
          <w:szCs w:val="24"/>
        </w:rPr>
        <w:t xml:space="preserve"> </w:t>
      </w:r>
      <w:r w:rsidR="00FD14C0">
        <w:rPr>
          <w:szCs w:val="24"/>
        </w:rPr>
        <w:t>inconsistent with the Court’s judgment.</w:t>
      </w:r>
    </w:p>
    <w:p w14:paraId="46C43655" w14:textId="3EF60C29" w:rsidR="005D2399" w:rsidRDefault="00D550ED" w:rsidP="00811111">
      <w:pPr>
        <w:spacing w:line="480" w:lineRule="auto"/>
        <w:ind w:firstLine="720"/>
        <w:rPr>
          <w:szCs w:val="24"/>
        </w:rPr>
      </w:pPr>
      <w:r>
        <w:rPr>
          <w:szCs w:val="24"/>
        </w:rPr>
        <w:t xml:space="preserve">The controlling commissioners </w:t>
      </w:r>
      <w:r w:rsidR="002C135C">
        <w:rPr>
          <w:szCs w:val="24"/>
        </w:rPr>
        <w:t xml:space="preserve">crafted their </w:t>
      </w:r>
      <w:r w:rsidR="005D7020">
        <w:rPr>
          <w:szCs w:val="24"/>
        </w:rPr>
        <w:t xml:space="preserve">erroneous </w:t>
      </w:r>
      <w:r w:rsidR="002C135C">
        <w:rPr>
          <w:szCs w:val="24"/>
        </w:rPr>
        <w:t>test</w:t>
      </w:r>
      <w:r>
        <w:rPr>
          <w:szCs w:val="24"/>
        </w:rPr>
        <w:t xml:space="preserve"> by relying on a misleadingly truncated discussion of </w:t>
      </w:r>
      <w:r w:rsidR="00825924">
        <w:rPr>
          <w:szCs w:val="24"/>
        </w:rPr>
        <w:t>one of the</w:t>
      </w:r>
      <w:r w:rsidR="00D70897">
        <w:rPr>
          <w:szCs w:val="24"/>
        </w:rPr>
        <w:t xml:space="preserve"> campaign</w:t>
      </w:r>
      <w:r>
        <w:rPr>
          <w:szCs w:val="24"/>
        </w:rPr>
        <w:t xml:space="preserve"> ad</w:t>
      </w:r>
      <w:r w:rsidR="00825924">
        <w:rPr>
          <w:szCs w:val="24"/>
        </w:rPr>
        <w:t>s</w:t>
      </w:r>
      <w:r>
        <w:rPr>
          <w:szCs w:val="24"/>
        </w:rPr>
        <w:t xml:space="preserve"> </w:t>
      </w:r>
      <w:r w:rsidR="00D70897">
        <w:rPr>
          <w:szCs w:val="24"/>
        </w:rPr>
        <w:t xml:space="preserve">mentioned </w:t>
      </w:r>
      <w:r>
        <w:rPr>
          <w:szCs w:val="24"/>
        </w:rPr>
        <w:t xml:space="preserve">in </w:t>
      </w:r>
      <w:r>
        <w:rPr>
          <w:i/>
          <w:szCs w:val="24"/>
        </w:rPr>
        <w:t>McConnell v. FEC</w:t>
      </w:r>
      <w:r>
        <w:rPr>
          <w:szCs w:val="24"/>
        </w:rPr>
        <w:t>, 540 U.S. 93 (2003)</w:t>
      </w:r>
      <w:r w:rsidR="002C135C">
        <w:rPr>
          <w:szCs w:val="24"/>
        </w:rPr>
        <w:t>, and by completely ignoring the other ads the Court discussed and found to be election</w:t>
      </w:r>
      <w:r w:rsidR="00731FB2">
        <w:rPr>
          <w:szCs w:val="24"/>
        </w:rPr>
        <w:t>-</w:t>
      </w:r>
      <w:r w:rsidR="002C135C">
        <w:rPr>
          <w:szCs w:val="24"/>
        </w:rPr>
        <w:t>related</w:t>
      </w:r>
      <w:r>
        <w:rPr>
          <w:szCs w:val="24"/>
        </w:rPr>
        <w:t xml:space="preserve">.  </w:t>
      </w:r>
      <w:r w:rsidR="007501AB">
        <w:rPr>
          <w:i/>
          <w:szCs w:val="24"/>
        </w:rPr>
        <w:t xml:space="preserve">See </w:t>
      </w:r>
      <w:r w:rsidR="0020467F">
        <w:rPr>
          <w:szCs w:val="24"/>
        </w:rPr>
        <w:t>Ex. 2</w:t>
      </w:r>
      <w:r w:rsidR="004860A2">
        <w:rPr>
          <w:szCs w:val="24"/>
        </w:rPr>
        <w:t xml:space="preserve"> at </w:t>
      </w:r>
      <w:r w:rsidR="0020467F">
        <w:rPr>
          <w:szCs w:val="24"/>
        </w:rPr>
        <w:t xml:space="preserve">6 </w:t>
      </w:r>
      <w:r w:rsidR="007501AB">
        <w:rPr>
          <w:szCs w:val="24"/>
        </w:rPr>
        <w:t>n.23.</w:t>
      </w:r>
      <w:r w:rsidR="00254429">
        <w:rPr>
          <w:rStyle w:val="FootnoteReference"/>
          <w:szCs w:val="24"/>
        </w:rPr>
        <w:footnoteReference w:id="5"/>
      </w:r>
      <w:r w:rsidR="007501AB">
        <w:rPr>
          <w:szCs w:val="24"/>
        </w:rPr>
        <w:t xml:space="preserve">  </w:t>
      </w:r>
      <w:r w:rsidR="004860A2">
        <w:rPr>
          <w:szCs w:val="24"/>
        </w:rPr>
        <w:t xml:space="preserve">In </w:t>
      </w:r>
      <w:r w:rsidR="00731FB2" w:rsidRPr="00C642A8">
        <w:rPr>
          <w:i/>
          <w:szCs w:val="24"/>
        </w:rPr>
        <w:t>McConnell</w:t>
      </w:r>
      <w:r w:rsidR="00D70897">
        <w:rPr>
          <w:szCs w:val="24"/>
        </w:rPr>
        <w:t xml:space="preserve">, </w:t>
      </w:r>
      <w:r w:rsidR="004860A2">
        <w:rPr>
          <w:szCs w:val="24"/>
        </w:rPr>
        <w:t xml:space="preserve">the Supreme Court </w:t>
      </w:r>
      <w:r w:rsidR="00D70897">
        <w:rPr>
          <w:szCs w:val="24"/>
        </w:rPr>
        <w:t xml:space="preserve">discussed </w:t>
      </w:r>
      <w:r w:rsidR="007501AB">
        <w:rPr>
          <w:szCs w:val="24"/>
        </w:rPr>
        <w:t xml:space="preserve">a number of ads </w:t>
      </w:r>
      <w:r w:rsidR="005065D6">
        <w:rPr>
          <w:szCs w:val="24"/>
        </w:rPr>
        <w:t xml:space="preserve">clearly designed to influence elections but </w:t>
      </w:r>
      <w:r w:rsidR="007501AB">
        <w:rPr>
          <w:szCs w:val="24"/>
        </w:rPr>
        <w:t xml:space="preserve">that had escaped disclosure </w:t>
      </w:r>
      <w:r w:rsidR="0086603C">
        <w:rPr>
          <w:szCs w:val="24"/>
        </w:rPr>
        <w:t xml:space="preserve">requirements </w:t>
      </w:r>
      <w:r w:rsidR="007501AB">
        <w:rPr>
          <w:szCs w:val="24"/>
        </w:rPr>
        <w:t xml:space="preserve">under then-existing </w:t>
      </w:r>
      <w:r w:rsidR="00731FB2">
        <w:rPr>
          <w:szCs w:val="24"/>
        </w:rPr>
        <w:t xml:space="preserve">rules that only covered </w:t>
      </w:r>
      <w:r w:rsidR="007501AB">
        <w:rPr>
          <w:szCs w:val="24"/>
        </w:rPr>
        <w:t>express advocacy.  One ad</w:t>
      </w:r>
      <w:r w:rsidR="00EE5988">
        <w:rPr>
          <w:szCs w:val="24"/>
        </w:rPr>
        <w:t xml:space="preserve"> the Court</w:t>
      </w:r>
      <w:r w:rsidR="00B54E72">
        <w:rPr>
          <w:szCs w:val="24"/>
        </w:rPr>
        <w:t xml:space="preserve"> concluded had an electoral purpose</w:t>
      </w:r>
      <w:r w:rsidR="007501AB">
        <w:rPr>
          <w:szCs w:val="24"/>
        </w:rPr>
        <w:t xml:space="preserve">, </w:t>
      </w:r>
      <w:r w:rsidR="00D70897">
        <w:rPr>
          <w:szCs w:val="24"/>
        </w:rPr>
        <w:t>the</w:t>
      </w:r>
      <w:r w:rsidR="004860A2">
        <w:rPr>
          <w:szCs w:val="24"/>
        </w:rPr>
        <w:t xml:space="preserve"> “Yellowtail” </w:t>
      </w:r>
      <w:r w:rsidR="00D70897">
        <w:rPr>
          <w:szCs w:val="24"/>
        </w:rPr>
        <w:t>ad</w:t>
      </w:r>
      <w:r w:rsidR="00EE5988">
        <w:rPr>
          <w:szCs w:val="24"/>
        </w:rPr>
        <w:t xml:space="preserve">, </w:t>
      </w:r>
      <w:r w:rsidR="004860A2">
        <w:rPr>
          <w:szCs w:val="24"/>
        </w:rPr>
        <w:t xml:space="preserve">accused </w:t>
      </w:r>
      <w:r w:rsidR="00EE5988">
        <w:rPr>
          <w:szCs w:val="24"/>
        </w:rPr>
        <w:t xml:space="preserve">a </w:t>
      </w:r>
      <w:r w:rsidR="00063AE6">
        <w:rPr>
          <w:szCs w:val="24"/>
        </w:rPr>
        <w:t xml:space="preserve">House candidate </w:t>
      </w:r>
      <w:r w:rsidR="004860A2">
        <w:rPr>
          <w:szCs w:val="24"/>
        </w:rPr>
        <w:t xml:space="preserve">of hitting his wife and skipping child support.  </w:t>
      </w:r>
      <w:r w:rsidR="004860A2">
        <w:rPr>
          <w:i/>
          <w:szCs w:val="24"/>
        </w:rPr>
        <w:t>McConnell</w:t>
      </w:r>
      <w:r w:rsidR="007501AB">
        <w:rPr>
          <w:szCs w:val="24"/>
        </w:rPr>
        <w:t>, 540 U.S. at 193 n.78 (fi</w:t>
      </w:r>
      <w:r w:rsidR="004860A2">
        <w:rPr>
          <w:szCs w:val="24"/>
        </w:rPr>
        <w:t>nding that “the notion that this advertisement was designed purely to discuss the issue of family values strains credulity”)</w:t>
      </w:r>
      <w:r w:rsidR="007501AB">
        <w:rPr>
          <w:szCs w:val="24"/>
        </w:rPr>
        <w:t>; Ex. 2 at 6 n.23.</w:t>
      </w:r>
      <w:r w:rsidR="004860A2">
        <w:rPr>
          <w:szCs w:val="24"/>
        </w:rPr>
        <w:t xml:space="preserve">  </w:t>
      </w:r>
      <w:r w:rsidR="00EE5988">
        <w:rPr>
          <w:szCs w:val="24"/>
        </w:rPr>
        <w:t xml:space="preserve">According to the controlling commissioners, this ad is a “paradigmatic example” of </w:t>
      </w:r>
      <w:r w:rsidR="005D2399">
        <w:rPr>
          <w:szCs w:val="24"/>
        </w:rPr>
        <w:t>“a critique of the candidate’s personal behavior” that “may indicate a purpose of nom</w:t>
      </w:r>
      <w:r w:rsidR="00063AE6">
        <w:rPr>
          <w:szCs w:val="24"/>
        </w:rPr>
        <w:t>inating or electing a candidate</w:t>
      </w:r>
      <w:r w:rsidR="005D2399">
        <w:rPr>
          <w:szCs w:val="24"/>
        </w:rPr>
        <w:t>”</w:t>
      </w:r>
      <w:r w:rsidR="00FD3A20">
        <w:rPr>
          <w:szCs w:val="24"/>
        </w:rPr>
        <w:t>—a</w:t>
      </w:r>
      <w:r w:rsidR="005D2399">
        <w:rPr>
          <w:szCs w:val="24"/>
        </w:rPr>
        <w:t xml:space="preserve">ttributes the controlling commissioners contrast with “a sharp critique of a candidate’s position on legislation or public policy” that is “consistent with an attempt to influence the candidate’s position on the legislation or policy.”  </w:t>
      </w:r>
      <w:r w:rsidR="005065D6">
        <w:rPr>
          <w:szCs w:val="24"/>
        </w:rPr>
        <w:t>Ex. 2 at 6 n.23.</w:t>
      </w:r>
    </w:p>
    <w:p w14:paraId="726C13E4" w14:textId="2B83CBF4" w:rsidR="00A75B25" w:rsidRDefault="00063B8E" w:rsidP="00811111">
      <w:pPr>
        <w:spacing w:line="480" w:lineRule="auto"/>
        <w:ind w:firstLine="720"/>
        <w:rPr>
          <w:szCs w:val="24"/>
        </w:rPr>
      </w:pPr>
      <w:r>
        <w:rPr>
          <w:szCs w:val="24"/>
        </w:rPr>
        <w:t>I</w:t>
      </w:r>
      <w:r w:rsidR="0083375E">
        <w:rPr>
          <w:szCs w:val="24"/>
        </w:rPr>
        <w:t>n an attempt to manufacture a distinction between th</w:t>
      </w:r>
      <w:r w:rsidR="00825924">
        <w:rPr>
          <w:szCs w:val="24"/>
        </w:rPr>
        <w:t xml:space="preserve">at </w:t>
      </w:r>
      <w:r w:rsidR="0083375E">
        <w:rPr>
          <w:szCs w:val="24"/>
        </w:rPr>
        <w:t>ad and AAN’s ads</w:t>
      </w:r>
      <w:r>
        <w:rPr>
          <w:szCs w:val="24"/>
        </w:rPr>
        <w:t>, however</w:t>
      </w:r>
      <w:r w:rsidR="0083375E">
        <w:rPr>
          <w:szCs w:val="24"/>
        </w:rPr>
        <w:t>, t</w:t>
      </w:r>
      <w:r w:rsidR="004860A2">
        <w:rPr>
          <w:szCs w:val="24"/>
        </w:rPr>
        <w:t>he controlling commissioners</w:t>
      </w:r>
      <w:r w:rsidR="0083375E">
        <w:rPr>
          <w:szCs w:val="24"/>
        </w:rPr>
        <w:t>’</w:t>
      </w:r>
      <w:r w:rsidR="004860A2">
        <w:rPr>
          <w:szCs w:val="24"/>
        </w:rPr>
        <w:t xml:space="preserve"> </w:t>
      </w:r>
      <w:r w:rsidR="00523C90">
        <w:rPr>
          <w:szCs w:val="24"/>
        </w:rPr>
        <w:t>selectively curtailed the ad to its personal attacks, ignoring</w:t>
      </w:r>
      <w:r w:rsidR="004860A2">
        <w:rPr>
          <w:szCs w:val="24"/>
        </w:rPr>
        <w:t xml:space="preserve"> the fact that the “Yellowtail” ad</w:t>
      </w:r>
      <w:r w:rsidR="0083375E">
        <w:rPr>
          <w:szCs w:val="24"/>
        </w:rPr>
        <w:t xml:space="preserve"> not only personally attacked the </w:t>
      </w:r>
      <w:r w:rsidR="00063AE6">
        <w:rPr>
          <w:szCs w:val="24"/>
        </w:rPr>
        <w:t>candidate</w:t>
      </w:r>
      <w:r w:rsidR="0083375E">
        <w:rPr>
          <w:szCs w:val="24"/>
        </w:rPr>
        <w:t>, but</w:t>
      </w:r>
      <w:r w:rsidR="004860A2">
        <w:rPr>
          <w:szCs w:val="24"/>
        </w:rPr>
        <w:t xml:space="preserve"> also raised the fact that </w:t>
      </w:r>
      <w:r w:rsidR="00063AE6">
        <w:rPr>
          <w:szCs w:val="24"/>
        </w:rPr>
        <w:t>he</w:t>
      </w:r>
      <w:r w:rsidR="004860A2">
        <w:rPr>
          <w:szCs w:val="24"/>
        </w:rPr>
        <w:t xml:space="preserve"> “voted against child support enforcement” and asked viewers to “[c]all Bill Yellowtail” and to “[t]ell him to support family values.”  </w:t>
      </w:r>
      <w:r w:rsidR="0020467F" w:rsidRPr="0020467F">
        <w:rPr>
          <w:i/>
          <w:szCs w:val="24"/>
        </w:rPr>
        <w:t>McConnell</w:t>
      </w:r>
      <w:r w:rsidR="0020467F">
        <w:rPr>
          <w:szCs w:val="24"/>
        </w:rPr>
        <w:t xml:space="preserve">, </w:t>
      </w:r>
      <w:r w:rsidR="004860A2" w:rsidRPr="0020467F">
        <w:rPr>
          <w:szCs w:val="24"/>
        </w:rPr>
        <w:t>540</w:t>
      </w:r>
      <w:r w:rsidR="004860A2">
        <w:rPr>
          <w:szCs w:val="24"/>
        </w:rPr>
        <w:t xml:space="preserve"> U.S. at 193 n.78.  </w:t>
      </w:r>
      <w:r w:rsidR="00731FB2">
        <w:rPr>
          <w:szCs w:val="24"/>
        </w:rPr>
        <w:t>O</w:t>
      </w:r>
      <w:r w:rsidR="0083375E">
        <w:rPr>
          <w:szCs w:val="24"/>
        </w:rPr>
        <w:t>nly by ignoring these portions of the ad c</w:t>
      </w:r>
      <w:r w:rsidR="00523C90">
        <w:rPr>
          <w:szCs w:val="24"/>
        </w:rPr>
        <w:t>ould</w:t>
      </w:r>
      <w:r w:rsidR="0083375E">
        <w:rPr>
          <w:szCs w:val="24"/>
        </w:rPr>
        <w:t xml:space="preserve"> the controlling commissioners conclude that the inclusion of a legislative issue relating to the speaker’s agenda and a call on viewers to lobby the </w:t>
      </w:r>
      <w:r w:rsidR="00063AE6">
        <w:rPr>
          <w:szCs w:val="24"/>
        </w:rPr>
        <w:t xml:space="preserve">candidate means the </w:t>
      </w:r>
      <w:r w:rsidR="00825924">
        <w:rPr>
          <w:szCs w:val="24"/>
        </w:rPr>
        <w:t>ad</w:t>
      </w:r>
      <w:r w:rsidR="005D2399">
        <w:rPr>
          <w:szCs w:val="24"/>
        </w:rPr>
        <w:t>vertisement</w:t>
      </w:r>
      <w:r w:rsidR="00063AE6">
        <w:rPr>
          <w:szCs w:val="24"/>
        </w:rPr>
        <w:t>’s</w:t>
      </w:r>
      <w:r w:rsidR="005D2399">
        <w:rPr>
          <w:szCs w:val="24"/>
        </w:rPr>
        <w:t xml:space="preserve"> purpose</w:t>
      </w:r>
      <w:r w:rsidR="00FD3A20">
        <w:rPr>
          <w:szCs w:val="24"/>
        </w:rPr>
        <w:t xml:space="preserve"> is</w:t>
      </w:r>
      <w:r w:rsidR="005D2399">
        <w:rPr>
          <w:szCs w:val="24"/>
        </w:rPr>
        <w:t xml:space="preserve"> </w:t>
      </w:r>
      <w:r w:rsidR="00063AE6">
        <w:rPr>
          <w:szCs w:val="24"/>
        </w:rPr>
        <w:t>non-political</w:t>
      </w:r>
      <w:r w:rsidR="0083375E">
        <w:rPr>
          <w:szCs w:val="24"/>
        </w:rPr>
        <w:t xml:space="preserve">.  The Supreme Court, however, recognized an ad may be election-related even if it includes </w:t>
      </w:r>
      <w:r w:rsidR="00591818">
        <w:rPr>
          <w:szCs w:val="24"/>
        </w:rPr>
        <w:t>those references</w:t>
      </w:r>
      <w:r w:rsidR="0083375E">
        <w:rPr>
          <w:szCs w:val="24"/>
        </w:rPr>
        <w:t xml:space="preserve">.  </w:t>
      </w:r>
    </w:p>
    <w:p w14:paraId="5094D4C4" w14:textId="131848D0" w:rsidR="00975D58" w:rsidRDefault="001C5CB3" w:rsidP="000E4317">
      <w:pPr>
        <w:spacing w:line="480" w:lineRule="auto"/>
        <w:ind w:firstLine="720"/>
        <w:rPr>
          <w:szCs w:val="24"/>
        </w:rPr>
      </w:pPr>
      <w:r>
        <w:rPr>
          <w:szCs w:val="24"/>
        </w:rPr>
        <w:t xml:space="preserve">Similarly ignored by the controlling commissioners was </w:t>
      </w:r>
      <w:r>
        <w:rPr>
          <w:i/>
          <w:szCs w:val="24"/>
        </w:rPr>
        <w:t>McConnell</w:t>
      </w:r>
      <w:r>
        <w:rPr>
          <w:szCs w:val="24"/>
        </w:rPr>
        <w:t>’s discussion of other ads that contained no ad</w:t>
      </w:r>
      <w:r w:rsidR="00063AE6">
        <w:rPr>
          <w:szCs w:val="24"/>
        </w:rPr>
        <w:t xml:space="preserve"> </w:t>
      </w:r>
      <w:r>
        <w:rPr>
          <w:szCs w:val="24"/>
        </w:rPr>
        <w:t>hominem attacks</w:t>
      </w:r>
      <w:r w:rsidR="000E4317">
        <w:rPr>
          <w:szCs w:val="24"/>
        </w:rPr>
        <w:t xml:space="preserve"> but rather “focused on the speakers’ issues” and included a “call to action” </w:t>
      </w:r>
      <w:r w:rsidR="00B54E72">
        <w:rPr>
          <w:szCs w:val="24"/>
        </w:rPr>
        <w:t xml:space="preserve">that </w:t>
      </w:r>
      <w:r w:rsidR="000E4317">
        <w:rPr>
          <w:szCs w:val="24"/>
        </w:rPr>
        <w:t xml:space="preserve">did not explicitly include voting for or against the candidate.  </w:t>
      </w:r>
      <w:r w:rsidR="00975D58">
        <w:rPr>
          <w:szCs w:val="24"/>
        </w:rPr>
        <w:t>For example, t</w:t>
      </w:r>
      <w:r w:rsidR="000E4317">
        <w:rPr>
          <w:szCs w:val="24"/>
        </w:rPr>
        <w:t>he Court</w:t>
      </w:r>
      <w:r w:rsidR="00FD3A20">
        <w:rPr>
          <w:szCs w:val="24"/>
        </w:rPr>
        <w:t xml:space="preserve"> </w:t>
      </w:r>
      <w:r w:rsidR="006107BB">
        <w:rPr>
          <w:szCs w:val="24"/>
        </w:rPr>
        <w:t>characterized</w:t>
      </w:r>
      <w:r w:rsidR="000E4317">
        <w:rPr>
          <w:szCs w:val="24"/>
        </w:rPr>
        <w:t xml:space="preserve"> as quintessential</w:t>
      </w:r>
      <w:r w:rsidR="00811111">
        <w:rPr>
          <w:szCs w:val="24"/>
        </w:rPr>
        <w:t>ly</w:t>
      </w:r>
      <w:r w:rsidR="000E4317">
        <w:rPr>
          <w:szCs w:val="24"/>
        </w:rPr>
        <w:t xml:space="preserve"> campaign-related </w:t>
      </w:r>
      <w:r w:rsidR="00811111">
        <w:rPr>
          <w:szCs w:val="24"/>
        </w:rPr>
        <w:t xml:space="preserve">an </w:t>
      </w:r>
      <w:r w:rsidR="000E4317">
        <w:rPr>
          <w:szCs w:val="24"/>
        </w:rPr>
        <w:t xml:space="preserve">ad </w:t>
      </w:r>
      <w:r w:rsidR="00975D58">
        <w:rPr>
          <w:szCs w:val="24"/>
        </w:rPr>
        <w:t>that, while lacking express advocacy, “</w:t>
      </w:r>
      <w:r w:rsidR="000E4317">
        <w:rPr>
          <w:szCs w:val="24"/>
        </w:rPr>
        <w:t>condemned [candidate] Jane Doe’s record on a particular issue before exhorting viewers to ‘call Jane Doe and tell her what you think.’”  540 U.S. at 12</w:t>
      </w:r>
      <w:r w:rsidR="00FD3A20">
        <w:rPr>
          <w:szCs w:val="24"/>
        </w:rPr>
        <w:t>7</w:t>
      </w:r>
      <w:r w:rsidR="000E4317">
        <w:rPr>
          <w:szCs w:val="24"/>
        </w:rPr>
        <w:t>.</w:t>
      </w:r>
      <w:r w:rsidR="00FD3A20">
        <w:rPr>
          <w:szCs w:val="24"/>
        </w:rPr>
        <w:t xml:space="preserve">  </w:t>
      </w:r>
    </w:p>
    <w:p w14:paraId="599232E9" w14:textId="2B5C0651" w:rsidR="00537898" w:rsidRDefault="000E4317" w:rsidP="00FA10D0">
      <w:pPr>
        <w:spacing w:line="480" w:lineRule="auto"/>
        <w:ind w:firstLine="720"/>
        <w:rPr>
          <w:szCs w:val="24"/>
        </w:rPr>
      </w:pPr>
      <w:r>
        <w:rPr>
          <w:szCs w:val="24"/>
        </w:rPr>
        <w:t xml:space="preserve">The Court also pointed to real-life examples of ads run by </w:t>
      </w:r>
      <w:r w:rsidR="00537898">
        <w:rPr>
          <w:szCs w:val="24"/>
        </w:rPr>
        <w:t xml:space="preserve">Republicans for Clean Air and </w:t>
      </w:r>
      <w:r w:rsidR="006107BB">
        <w:rPr>
          <w:szCs w:val="24"/>
        </w:rPr>
        <w:t>Citizen for</w:t>
      </w:r>
      <w:r>
        <w:rPr>
          <w:szCs w:val="24"/>
        </w:rPr>
        <w:t xml:space="preserve"> Better Medicare.  </w:t>
      </w:r>
      <w:r>
        <w:rPr>
          <w:i/>
          <w:szCs w:val="24"/>
        </w:rPr>
        <w:t>Id.</w:t>
      </w:r>
      <w:r>
        <w:rPr>
          <w:szCs w:val="24"/>
        </w:rPr>
        <w:t xml:space="preserve"> at 128.  </w:t>
      </w:r>
      <w:r w:rsidR="00537898">
        <w:rPr>
          <w:szCs w:val="24"/>
        </w:rPr>
        <w:t xml:space="preserve">The Republicans for Clean Air ad </w:t>
      </w:r>
      <w:r w:rsidR="00913414">
        <w:rPr>
          <w:szCs w:val="24"/>
        </w:rPr>
        <w:t>contrasted then</w:t>
      </w:r>
      <w:r w:rsidR="005F37D2">
        <w:rPr>
          <w:szCs w:val="24"/>
        </w:rPr>
        <w:t xml:space="preserve">-candidates for the Republican </w:t>
      </w:r>
      <w:r w:rsidR="00913414">
        <w:rPr>
          <w:szCs w:val="24"/>
        </w:rPr>
        <w:t>presidential</w:t>
      </w:r>
      <w:r w:rsidR="005F37D2">
        <w:rPr>
          <w:szCs w:val="24"/>
        </w:rPr>
        <w:t xml:space="preserve"> </w:t>
      </w:r>
      <w:r w:rsidR="00537898">
        <w:rPr>
          <w:szCs w:val="24"/>
        </w:rPr>
        <w:t>nomin</w:t>
      </w:r>
      <w:r w:rsidR="005F37D2">
        <w:rPr>
          <w:szCs w:val="24"/>
        </w:rPr>
        <w:t>ation</w:t>
      </w:r>
      <w:r w:rsidR="00537898">
        <w:rPr>
          <w:szCs w:val="24"/>
        </w:rPr>
        <w:t xml:space="preserve"> Senator John McCain and Governor George Bush on their positions on solar and other renewable energy versus coal-burning power plants.  </w:t>
      </w:r>
      <w:r w:rsidR="005F37D2">
        <w:rPr>
          <w:szCs w:val="24"/>
        </w:rPr>
        <w:t xml:space="preserve">MUR 4982, </w:t>
      </w:r>
      <w:r w:rsidR="00537898">
        <w:rPr>
          <w:szCs w:val="24"/>
        </w:rPr>
        <w:t>Statement of Reasons of Commissioners Scott E. Th</w:t>
      </w:r>
      <w:r w:rsidR="00913414">
        <w:rPr>
          <w:szCs w:val="24"/>
        </w:rPr>
        <w:t>omas and Danny Lee McDonald</w:t>
      </w:r>
      <w:r w:rsidR="005F37D2">
        <w:rPr>
          <w:szCs w:val="24"/>
        </w:rPr>
        <w:t>, at</w:t>
      </w:r>
      <w:r w:rsidR="00913414">
        <w:rPr>
          <w:szCs w:val="24"/>
        </w:rPr>
        <w:t xml:space="preserve"> 2</w:t>
      </w:r>
      <w:r w:rsidR="00537898">
        <w:rPr>
          <w:szCs w:val="24"/>
        </w:rPr>
        <w:t xml:space="preserve"> (Apr. 24, 2002), </w:t>
      </w:r>
      <w:r w:rsidR="00537898">
        <w:rPr>
          <w:i/>
          <w:szCs w:val="24"/>
        </w:rPr>
        <w:t>available at</w:t>
      </w:r>
      <w:r w:rsidR="00537898">
        <w:rPr>
          <w:szCs w:val="24"/>
        </w:rPr>
        <w:t xml:space="preserve"> </w:t>
      </w:r>
      <w:hyperlink r:id="rId8" w:history="1">
        <w:r w:rsidR="005F37D2" w:rsidRPr="00797269">
          <w:rPr>
            <w:rStyle w:val="Hyperlink"/>
            <w:szCs w:val="24"/>
          </w:rPr>
          <w:t>http://eqs.fec.gov/eqsdocsMUR/00000127.pdf</w:t>
        </w:r>
      </w:hyperlink>
      <w:r w:rsidR="00537898">
        <w:rPr>
          <w:szCs w:val="24"/>
        </w:rPr>
        <w:t xml:space="preserve"> (cited by </w:t>
      </w:r>
      <w:r w:rsidR="00537898">
        <w:rPr>
          <w:i/>
          <w:szCs w:val="24"/>
        </w:rPr>
        <w:t>McConnell v. FEC</w:t>
      </w:r>
      <w:r w:rsidR="00537898">
        <w:rPr>
          <w:szCs w:val="24"/>
        </w:rPr>
        <w:t xml:space="preserve">, 251 F. Supp. 2d 176, 232 (D.D.C. 2003) (cited by </w:t>
      </w:r>
      <w:r w:rsidR="00537898">
        <w:rPr>
          <w:i/>
          <w:szCs w:val="24"/>
        </w:rPr>
        <w:t>McConnell</w:t>
      </w:r>
      <w:r w:rsidR="00537898">
        <w:rPr>
          <w:szCs w:val="24"/>
        </w:rPr>
        <w:t xml:space="preserve">, 540 U.S. at 128 n.23)).  </w:t>
      </w:r>
      <w:r w:rsidR="00913414">
        <w:rPr>
          <w:szCs w:val="24"/>
        </w:rPr>
        <w:t>The ad contained no express advocacy</w:t>
      </w:r>
      <w:r w:rsidR="00FD3A20">
        <w:rPr>
          <w:szCs w:val="24"/>
        </w:rPr>
        <w:t>,</w:t>
      </w:r>
      <w:r w:rsidR="00913414">
        <w:rPr>
          <w:szCs w:val="24"/>
        </w:rPr>
        <w:t xml:space="preserve"> </w:t>
      </w:r>
      <w:r w:rsidR="00FD3A20">
        <w:rPr>
          <w:i/>
          <w:szCs w:val="24"/>
        </w:rPr>
        <w:t>i</w:t>
      </w:r>
      <w:r w:rsidR="00913414">
        <w:rPr>
          <w:i/>
          <w:szCs w:val="24"/>
        </w:rPr>
        <w:t xml:space="preserve">d. </w:t>
      </w:r>
      <w:proofErr w:type="gramStart"/>
      <w:r w:rsidR="00913414">
        <w:rPr>
          <w:szCs w:val="24"/>
        </w:rPr>
        <w:t>at</w:t>
      </w:r>
      <w:proofErr w:type="gramEnd"/>
      <w:r w:rsidR="00913414">
        <w:rPr>
          <w:szCs w:val="24"/>
        </w:rPr>
        <w:t xml:space="preserve"> 4</w:t>
      </w:r>
      <w:r w:rsidR="00FD3A20">
        <w:rPr>
          <w:szCs w:val="24"/>
        </w:rPr>
        <w:t xml:space="preserve">, and </w:t>
      </w:r>
      <w:r w:rsidR="00537898">
        <w:rPr>
          <w:szCs w:val="24"/>
        </w:rPr>
        <w:t>reflected the speaker’s purported agenda to “</w:t>
      </w:r>
      <w:proofErr w:type="spellStart"/>
      <w:r w:rsidR="00537898">
        <w:rPr>
          <w:szCs w:val="24"/>
        </w:rPr>
        <w:t>advocat</w:t>
      </w:r>
      <w:proofErr w:type="spellEnd"/>
      <w:r w:rsidR="00537898">
        <w:rPr>
          <w:szCs w:val="24"/>
        </w:rPr>
        <w:t>[e</w:t>
      </w:r>
      <w:r w:rsidR="005F37D2">
        <w:rPr>
          <w:szCs w:val="24"/>
        </w:rPr>
        <w:t xml:space="preserve"> </w:t>
      </w:r>
      <w:r w:rsidR="001204C2">
        <w:rPr>
          <w:szCs w:val="24"/>
        </w:rPr>
        <w:t>]</w:t>
      </w:r>
      <w:r w:rsidR="00537898">
        <w:rPr>
          <w:szCs w:val="24"/>
        </w:rPr>
        <w:t>national environmental matters, including pending and proposed federal legislation on clean air issues.”  MUR 4982</w:t>
      </w:r>
      <w:r w:rsidR="005F37D2">
        <w:rPr>
          <w:szCs w:val="24"/>
        </w:rPr>
        <w:t xml:space="preserve">, First General Counsel’s Report, at 15 </w:t>
      </w:r>
      <w:r w:rsidR="00537898">
        <w:rPr>
          <w:szCs w:val="24"/>
        </w:rPr>
        <w:t xml:space="preserve">(Dec. 20, </w:t>
      </w:r>
      <w:r w:rsidR="001204C2">
        <w:rPr>
          <w:szCs w:val="24"/>
        </w:rPr>
        <w:t>2001</w:t>
      </w:r>
      <w:r w:rsidR="00537898">
        <w:rPr>
          <w:szCs w:val="24"/>
        </w:rPr>
        <w:t xml:space="preserve">), </w:t>
      </w:r>
      <w:r w:rsidR="00537898">
        <w:rPr>
          <w:i/>
          <w:szCs w:val="24"/>
        </w:rPr>
        <w:t>available at</w:t>
      </w:r>
      <w:r w:rsidR="00537898">
        <w:rPr>
          <w:szCs w:val="24"/>
        </w:rPr>
        <w:t xml:space="preserve"> </w:t>
      </w:r>
      <w:hyperlink r:id="rId9" w:history="1">
        <w:r w:rsidR="005F37D2" w:rsidRPr="00797269">
          <w:rPr>
            <w:rStyle w:val="Hyperlink"/>
            <w:szCs w:val="24"/>
          </w:rPr>
          <w:t>http://eqs.fec.gov/eqsdocsMUR/00000124.pdf</w:t>
        </w:r>
      </w:hyperlink>
      <w:r w:rsidR="00537898">
        <w:rPr>
          <w:szCs w:val="24"/>
        </w:rPr>
        <w:t xml:space="preserve">.  </w:t>
      </w:r>
      <w:r w:rsidR="00FA10D0">
        <w:rPr>
          <w:szCs w:val="24"/>
        </w:rPr>
        <w:t xml:space="preserve">Under the controlling commissioners’ proposed test, therefore, the ad </w:t>
      </w:r>
      <w:r w:rsidR="005065D6">
        <w:rPr>
          <w:szCs w:val="24"/>
        </w:rPr>
        <w:t xml:space="preserve">would be </w:t>
      </w:r>
      <w:r w:rsidR="00FA10D0">
        <w:rPr>
          <w:szCs w:val="24"/>
        </w:rPr>
        <w:t xml:space="preserve">an “issue” ad and </w:t>
      </w:r>
      <w:r w:rsidR="004A50F9">
        <w:rPr>
          <w:szCs w:val="24"/>
        </w:rPr>
        <w:t xml:space="preserve">would have had </w:t>
      </w:r>
      <w:r w:rsidR="00FA10D0">
        <w:rPr>
          <w:szCs w:val="24"/>
        </w:rPr>
        <w:t xml:space="preserve">no election-related purpose. </w:t>
      </w:r>
      <w:r w:rsidR="00537898">
        <w:rPr>
          <w:szCs w:val="24"/>
        </w:rPr>
        <w:t xml:space="preserve"> </w:t>
      </w:r>
      <w:r w:rsidR="000A1252">
        <w:rPr>
          <w:szCs w:val="24"/>
        </w:rPr>
        <w:t>T</w:t>
      </w:r>
      <w:r w:rsidR="00FA10D0">
        <w:rPr>
          <w:szCs w:val="24"/>
        </w:rPr>
        <w:t>he Supreme Court</w:t>
      </w:r>
      <w:r w:rsidR="000A1252">
        <w:rPr>
          <w:szCs w:val="24"/>
        </w:rPr>
        <w:t>, however,</w:t>
      </w:r>
      <w:r w:rsidR="00FA10D0">
        <w:rPr>
          <w:szCs w:val="24"/>
        </w:rPr>
        <w:t xml:space="preserve"> recognized this “so-called issue </w:t>
      </w:r>
      <w:proofErr w:type="gramStart"/>
      <w:r w:rsidR="00FA10D0">
        <w:rPr>
          <w:szCs w:val="24"/>
        </w:rPr>
        <w:t>ad[</w:t>
      </w:r>
      <w:proofErr w:type="gramEnd"/>
      <w:r w:rsidR="00FA10D0">
        <w:rPr>
          <w:szCs w:val="24"/>
        </w:rPr>
        <w:t>]” was sufficiently election</w:t>
      </w:r>
      <w:r w:rsidR="00FD3A20">
        <w:rPr>
          <w:szCs w:val="24"/>
        </w:rPr>
        <w:t>-related</w:t>
      </w:r>
      <w:r w:rsidR="00FA10D0">
        <w:rPr>
          <w:szCs w:val="24"/>
        </w:rPr>
        <w:t xml:space="preserve"> to justify regulation under the FECA.  </w:t>
      </w:r>
      <w:r w:rsidR="00FA10D0">
        <w:rPr>
          <w:i/>
          <w:szCs w:val="24"/>
        </w:rPr>
        <w:t>McConnell</w:t>
      </w:r>
      <w:r w:rsidR="00FA10D0">
        <w:rPr>
          <w:szCs w:val="24"/>
        </w:rPr>
        <w:t xml:space="preserve">, 540 U.S. at 128, 196. </w:t>
      </w:r>
    </w:p>
    <w:p w14:paraId="4C630F86" w14:textId="55ABE887" w:rsidR="00235464" w:rsidRDefault="00FA10D0" w:rsidP="00815D9B">
      <w:pPr>
        <w:spacing w:line="480" w:lineRule="auto"/>
        <w:ind w:firstLine="720"/>
        <w:rPr>
          <w:szCs w:val="24"/>
        </w:rPr>
      </w:pPr>
      <w:r>
        <w:rPr>
          <w:szCs w:val="24"/>
        </w:rPr>
        <w:t xml:space="preserve">Similarly, the Court found ads by Citizens for Better Medicare </w:t>
      </w:r>
      <w:r w:rsidR="000A1252">
        <w:rPr>
          <w:szCs w:val="24"/>
        </w:rPr>
        <w:t xml:space="preserve">were </w:t>
      </w:r>
      <w:r>
        <w:rPr>
          <w:szCs w:val="24"/>
        </w:rPr>
        <w:t>electoral despite the fact that the</w:t>
      </w:r>
      <w:r w:rsidR="000A1252">
        <w:rPr>
          <w:szCs w:val="24"/>
        </w:rPr>
        <w:t>y</w:t>
      </w:r>
      <w:r>
        <w:rPr>
          <w:szCs w:val="24"/>
        </w:rPr>
        <w:t xml:space="preserve"> would </w:t>
      </w:r>
      <w:r w:rsidR="005E6455">
        <w:rPr>
          <w:szCs w:val="24"/>
        </w:rPr>
        <w:t xml:space="preserve">be </w:t>
      </w:r>
      <w:r>
        <w:rPr>
          <w:szCs w:val="24"/>
        </w:rPr>
        <w:t>classif</w:t>
      </w:r>
      <w:r w:rsidR="005E6455">
        <w:rPr>
          <w:szCs w:val="24"/>
        </w:rPr>
        <w:t>ied</w:t>
      </w:r>
      <w:r>
        <w:rPr>
          <w:szCs w:val="24"/>
        </w:rPr>
        <w:t xml:space="preserve"> as non-</w:t>
      </w:r>
      <w:r w:rsidR="00FD3A20">
        <w:rPr>
          <w:szCs w:val="24"/>
        </w:rPr>
        <w:t xml:space="preserve">political </w:t>
      </w:r>
      <w:r>
        <w:rPr>
          <w:szCs w:val="24"/>
        </w:rPr>
        <w:t xml:space="preserve">under the controlling commissioners’ proposed test.  </w:t>
      </w:r>
      <w:r w:rsidR="000A1252">
        <w:rPr>
          <w:szCs w:val="24"/>
        </w:rPr>
        <w:t xml:space="preserve">Citizens for Better Medicare’s </w:t>
      </w:r>
      <w:r w:rsidR="00AE55F4">
        <w:rPr>
          <w:szCs w:val="24"/>
        </w:rPr>
        <w:t>stated mission was to “represent[] the interests of patients, seniors, disabled Americans, small businesses, pharmaceutical research companies and many others concerned with Medicare reform</w:t>
      </w:r>
      <w:r w:rsidR="000A1252">
        <w:rPr>
          <w:szCs w:val="24"/>
        </w:rPr>
        <w:t>,</w:t>
      </w:r>
      <w:r w:rsidR="00AE55F4">
        <w:rPr>
          <w:szCs w:val="24"/>
        </w:rPr>
        <w:t>”</w:t>
      </w:r>
      <w:r w:rsidR="000A1252">
        <w:rPr>
          <w:szCs w:val="24"/>
        </w:rPr>
        <w:t xml:space="preserve"> though in truth it was financed by the pharmaceutical industry.</w:t>
      </w:r>
      <w:r w:rsidR="00AE55F4">
        <w:rPr>
          <w:szCs w:val="24"/>
        </w:rPr>
        <w:t xml:space="preserve">  </w:t>
      </w:r>
      <w:r w:rsidR="000A1252">
        <w:rPr>
          <w:i/>
          <w:szCs w:val="24"/>
        </w:rPr>
        <w:t>McConnell</w:t>
      </w:r>
      <w:r w:rsidR="000A1252">
        <w:rPr>
          <w:szCs w:val="24"/>
        </w:rPr>
        <w:t>, 251 F. Supp. 2d at 546, 561</w:t>
      </w:r>
      <w:r w:rsidR="00690B55">
        <w:rPr>
          <w:szCs w:val="24"/>
        </w:rPr>
        <w:t xml:space="preserve">. </w:t>
      </w:r>
      <w:r w:rsidR="00AE55F4">
        <w:rPr>
          <w:szCs w:val="24"/>
        </w:rPr>
        <w:t xml:space="preserve"> </w:t>
      </w:r>
      <w:r w:rsidR="000A1252">
        <w:rPr>
          <w:szCs w:val="24"/>
        </w:rPr>
        <w:t>B</w:t>
      </w:r>
      <w:r w:rsidR="00AE55F4">
        <w:rPr>
          <w:szCs w:val="24"/>
        </w:rPr>
        <w:t xml:space="preserve">etween September 2000 and the election, the group ran “advertising focused on specific federal candidates,” “supporting [Republican] members and attacking Democratic candidates.”  </w:t>
      </w:r>
      <w:r w:rsidR="00AE55F4">
        <w:rPr>
          <w:i/>
          <w:szCs w:val="24"/>
        </w:rPr>
        <w:t>Id.</w:t>
      </w:r>
      <w:r w:rsidR="0020467F">
        <w:rPr>
          <w:szCs w:val="24"/>
        </w:rPr>
        <w:t xml:space="preserve"> at 546, 561</w:t>
      </w:r>
      <w:r w:rsidR="000A1252">
        <w:rPr>
          <w:szCs w:val="24"/>
        </w:rPr>
        <w:t>.</w:t>
      </w:r>
      <w:r w:rsidR="00AE55F4" w:rsidRPr="005065D6">
        <w:rPr>
          <w:szCs w:val="24"/>
        </w:rPr>
        <w:t xml:space="preserve"> </w:t>
      </w:r>
      <w:r w:rsidR="001A4C31" w:rsidRPr="00811111">
        <w:rPr>
          <w:szCs w:val="24"/>
        </w:rPr>
        <w:t xml:space="preserve"> </w:t>
      </w:r>
      <w:r w:rsidR="001A4C31">
        <w:rPr>
          <w:szCs w:val="24"/>
        </w:rPr>
        <w:t>The ads “</w:t>
      </w:r>
      <w:proofErr w:type="spellStart"/>
      <w:r w:rsidR="001A4C31">
        <w:rPr>
          <w:szCs w:val="24"/>
        </w:rPr>
        <w:t>urg</w:t>
      </w:r>
      <w:proofErr w:type="spellEnd"/>
      <w:r w:rsidR="001A4C31">
        <w:rPr>
          <w:szCs w:val="24"/>
        </w:rPr>
        <w:t>[</w:t>
      </w:r>
      <w:proofErr w:type="spellStart"/>
      <w:proofErr w:type="gramStart"/>
      <w:r w:rsidR="001A4C31">
        <w:rPr>
          <w:szCs w:val="24"/>
        </w:rPr>
        <w:t>ed</w:t>
      </w:r>
      <w:proofErr w:type="spellEnd"/>
      <w:proofErr w:type="gramEnd"/>
      <w:r w:rsidR="001A4C31">
        <w:rPr>
          <w:szCs w:val="24"/>
        </w:rPr>
        <w:t xml:space="preserve">] people to call </w:t>
      </w:r>
      <w:r w:rsidR="00ED2EE3">
        <w:rPr>
          <w:szCs w:val="24"/>
        </w:rPr>
        <w:t xml:space="preserve">[the named representatives] </w:t>
      </w:r>
      <w:r w:rsidR="001A4C31">
        <w:rPr>
          <w:szCs w:val="24"/>
        </w:rPr>
        <w:t>and support” proposed polic</w:t>
      </w:r>
      <w:r w:rsidR="00A63092">
        <w:rPr>
          <w:szCs w:val="24"/>
        </w:rPr>
        <w:t>ies related to a prescription drug benefit bill</w:t>
      </w:r>
      <w:r w:rsidR="001A4C31">
        <w:rPr>
          <w:szCs w:val="24"/>
        </w:rPr>
        <w:t xml:space="preserve">.  Dep. </w:t>
      </w:r>
      <w:r w:rsidR="00197A57">
        <w:rPr>
          <w:szCs w:val="24"/>
        </w:rPr>
        <w:t>o</w:t>
      </w:r>
      <w:r w:rsidR="001A4C31">
        <w:rPr>
          <w:szCs w:val="24"/>
        </w:rPr>
        <w:t>f Alex Castellanos 65:1</w:t>
      </w:r>
      <w:r w:rsidR="00197A57">
        <w:rPr>
          <w:szCs w:val="24"/>
        </w:rPr>
        <w:t>–3</w:t>
      </w:r>
      <w:r w:rsidR="001A4C31">
        <w:rPr>
          <w:szCs w:val="24"/>
        </w:rPr>
        <w:t xml:space="preserve">, </w:t>
      </w:r>
      <w:r w:rsidR="001A4C31">
        <w:rPr>
          <w:i/>
          <w:szCs w:val="24"/>
        </w:rPr>
        <w:t>McConnell v. FEC</w:t>
      </w:r>
      <w:r w:rsidR="001A4C31">
        <w:rPr>
          <w:szCs w:val="24"/>
        </w:rPr>
        <w:t>, No. 02-cv-</w:t>
      </w:r>
      <w:r w:rsidR="00690B55">
        <w:rPr>
          <w:szCs w:val="24"/>
        </w:rPr>
        <w:t>0</w:t>
      </w:r>
      <w:r w:rsidR="001A4C31">
        <w:rPr>
          <w:szCs w:val="24"/>
        </w:rPr>
        <w:t>582 (</w:t>
      </w:r>
      <w:r w:rsidR="00690B55">
        <w:rPr>
          <w:szCs w:val="24"/>
        </w:rPr>
        <w:t xml:space="preserve">D.D.C. </w:t>
      </w:r>
      <w:r w:rsidR="001A4C31">
        <w:rPr>
          <w:szCs w:val="24"/>
        </w:rPr>
        <w:t>Sept. 27, 2002)</w:t>
      </w:r>
      <w:r w:rsidR="00DB5B68">
        <w:rPr>
          <w:szCs w:val="24"/>
        </w:rPr>
        <w:t xml:space="preserve">, </w:t>
      </w:r>
      <w:r w:rsidR="00197A57">
        <w:rPr>
          <w:i/>
          <w:szCs w:val="24"/>
        </w:rPr>
        <w:t>available at</w:t>
      </w:r>
      <w:r w:rsidR="00197A57">
        <w:rPr>
          <w:szCs w:val="24"/>
        </w:rPr>
        <w:t xml:space="preserve"> </w:t>
      </w:r>
      <w:hyperlink r:id="rId10" w:history="1">
        <w:r w:rsidR="00197A57" w:rsidRPr="00994C70">
          <w:rPr>
            <w:rStyle w:val="Hyperlink"/>
            <w:szCs w:val="24"/>
          </w:rPr>
          <w:t>http://www.campaignlegalcenter.org/sites/default/files/833.pdf</w:t>
        </w:r>
      </w:hyperlink>
      <w:r w:rsidR="00197A57">
        <w:rPr>
          <w:szCs w:val="24"/>
        </w:rPr>
        <w:t xml:space="preserve"> (“Castellanos Dep.”) (</w:t>
      </w:r>
      <w:proofErr w:type="gramStart"/>
      <w:r w:rsidR="00197A57">
        <w:rPr>
          <w:szCs w:val="24"/>
        </w:rPr>
        <w:t>noting</w:t>
      </w:r>
      <w:proofErr w:type="gramEnd"/>
      <w:r w:rsidR="00197A57">
        <w:rPr>
          <w:szCs w:val="24"/>
        </w:rPr>
        <w:t xml:space="preserve"> ads “</w:t>
      </w:r>
      <w:proofErr w:type="spellStart"/>
      <w:r w:rsidR="00197A57">
        <w:rPr>
          <w:szCs w:val="24"/>
        </w:rPr>
        <w:t>vari</w:t>
      </w:r>
      <w:proofErr w:type="spellEnd"/>
      <w:r w:rsidR="00197A57">
        <w:rPr>
          <w:szCs w:val="24"/>
        </w:rPr>
        <w:t>[</w:t>
      </w:r>
      <w:proofErr w:type="spellStart"/>
      <w:r w:rsidR="00197A57">
        <w:rPr>
          <w:szCs w:val="24"/>
        </w:rPr>
        <w:t>ed</w:t>
      </w:r>
      <w:proofErr w:type="spellEnd"/>
      <w:r w:rsidR="00197A57">
        <w:rPr>
          <w:szCs w:val="24"/>
        </w:rPr>
        <w:t xml:space="preserve">] in the different areas” in which </w:t>
      </w:r>
      <w:r w:rsidR="000A1252">
        <w:rPr>
          <w:szCs w:val="24"/>
        </w:rPr>
        <w:t>they</w:t>
      </w:r>
      <w:r w:rsidR="00197A57">
        <w:rPr>
          <w:szCs w:val="24"/>
        </w:rPr>
        <w:t xml:space="preserve"> ran)</w:t>
      </w:r>
      <w:r w:rsidR="00D75704">
        <w:rPr>
          <w:szCs w:val="24"/>
        </w:rPr>
        <w:t xml:space="preserve"> (</w:t>
      </w:r>
      <w:proofErr w:type="gramStart"/>
      <w:r w:rsidR="00D75704">
        <w:rPr>
          <w:szCs w:val="24"/>
        </w:rPr>
        <w:t>cited</w:t>
      </w:r>
      <w:proofErr w:type="gramEnd"/>
      <w:r w:rsidR="00D75704">
        <w:rPr>
          <w:szCs w:val="24"/>
        </w:rPr>
        <w:t xml:space="preserve"> by </w:t>
      </w:r>
      <w:r w:rsidR="00D75704">
        <w:rPr>
          <w:i/>
          <w:szCs w:val="24"/>
        </w:rPr>
        <w:t>McConnell</w:t>
      </w:r>
      <w:r w:rsidR="00D75704">
        <w:rPr>
          <w:szCs w:val="24"/>
        </w:rPr>
        <w:t>, 251 F. Supp. 2d at 546)</w:t>
      </w:r>
      <w:r w:rsidR="00197A57">
        <w:rPr>
          <w:szCs w:val="24"/>
        </w:rPr>
        <w:t>.  For example, one ad referred to Rep. Ernie Fletcher (R-KY)</w:t>
      </w:r>
      <w:r w:rsidR="00FD3A20">
        <w:rPr>
          <w:szCs w:val="24"/>
        </w:rPr>
        <w:t xml:space="preserve">, </w:t>
      </w:r>
      <w:r w:rsidR="00197A57">
        <w:rPr>
          <w:szCs w:val="24"/>
        </w:rPr>
        <w:t>stated Rep. Fletcher “voted to strengthen and improve healthcare for seniors</w:t>
      </w:r>
      <w:r w:rsidR="00FD3A20">
        <w:rPr>
          <w:szCs w:val="24"/>
        </w:rPr>
        <w:t>,</w:t>
      </w:r>
      <w:r w:rsidR="00197A57">
        <w:rPr>
          <w:szCs w:val="24"/>
        </w:rPr>
        <w:t xml:space="preserve">” </w:t>
      </w:r>
      <w:r w:rsidR="00FD3A20">
        <w:rPr>
          <w:szCs w:val="24"/>
        </w:rPr>
        <w:t xml:space="preserve">then went on to ask viewers to “[c]all Congressman Fletcher and see what you can do to support his prescription drug plan for seniors.” </w:t>
      </w:r>
      <w:r w:rsidR="00197A57">
        <w:rPr>
          <w:szCs w:val="24"/>
        </w:rPr>
        <w:t xml:space="preserve"> </w:t>
      </w:r>
      <w:r w:rsidR="00197A57">
        <w:rPr>
          <w:i/>
          <w:szCs w:val="24"/>
        </w:rPr>
        <w:t xml:space="preserve">See </w:t>
      </w:r>
      <w:r w:rsidR="00197A57">
        <w:rPr>
          <w:szCs w:val="24"/>
        </w:rPr>
        <w:t xml:space="preserve">The Campaign Finance Institute, </w:t>
      </w:r>
      <w:r w:rsidR="00197A57" w:rsidRPr="00197A57">
        <w:rPr>
          <w:szCs w:val="24"/>
          <w:u w:val="single"/>
        </w:rPr>
        <w:t>Issue Ad Disclosure, Recommendations for a New Approach</w:t>
      </w:r>
      <w:r w:rsidR="00197A57">
        <w:rPr>
          <w:szCs w:val="24"/>
        </w:rPr>
        <w:t xml:space="preserve"> </w:t>
      </w:r>
      <w:r w:rsidR="00075A18">
        <w:rPr>
          <w:szCs w:val="24"/>
        </w:rPr>
        <w:t xml:space="preserve">app. </w:t>
      </w:r>
      <w:r w:rsidR="00197A57">
        <w:rPr>
          <w:szCs w:val="24"/>
        </w:rPr>
        <w:t xml:space="preserve">A9 (Feb. 2001), </w:t>
      </w:r>
      <w:r w:rsidR="00197A57">
        <w:rPr>
          <w:i/>
          <w:szCs w:val="24"/>
        </w:rPr>
        <w:t xml:space="preserve">available at </w:t>
      </w:r>
      <w:hyperlink r:id="rId11" w:history="1">
        <w:r w:rsidR="00633C5A" w:rsidRPr="003C486D">
          <w:rPr>
            <w:rStyle w:val="Hyperlink"/>
            <w:szCs w:val="24"/>
          </w:rPr>
          <w:t>http://www.cfinst.org/disclosure/pdf/</w:t>
        </w:r>
        <w:r w:rsidR="00633C5A" w:rsidRPr="003C486D">
          <w:rPr>
            <w:rStyle w:val="Hyperlink"/>
            <w:szCs w:val="24"/>
          </w:rPr>
          <w:br/>
        </w:r>
        <w:r w:rsidR="00633C5A" w:rsidRPr="002F0A8A">
          <w:rPr>
            <w:rStyle w:val="Hyperlink"/>
            <w:szCs w:val="24"/>
          </w:rPr>
          <w:t>issueads_rpt.pdf</w:t>
        </w:r>
      </w:hyperlink>
      <w:r w:rsidR="00197A57">
        <w:rPr>
          <w:szCs w:val="24"/>
        </w:rPr>
        <w:t xml:space="preserve">; </w:t>
      </w:r>
      <w:r w:rsidR="00197A57">
        <w:rPr>
          <w:i/>
          <w:szCs w:val="24"/>
        </w:rPr>
        <w:t xml:space="preserve">see also </w:t>
      </w:r>
      <w:r w:rsidR="00197A57">
        <w:rPr>
          <w:szCs w:val="24"/>
        </w:rPr>
        <w:t>Castellanos Dep. at 65:19–22 (referencing “</w:t>
      </w:r>
      <w:proofErr w:type="spellStart"/>
      <w:r w:rsidR="00197A57">
        <w:rPr>
          <w:szCs w:val="24"/>
        </w:rPr>
        <w:t>Ardell</w:t>
      </w:r>
      <w:proofErr w:type="spellEnd"/>
      <w:r w:rsidR="00197A57">
        <w:rPr>
          <w:szCs w:val="24"/>
        </w:rPr>
        <w:t xml:space="preserve"> Miracles” ad).  </w:t>
      </w:r>
      <w:r w:rsidR="00A63092">
        <w:rPr>
          <w:szCs w:val="24"/>
        </w:rPr>
        <w:t xml:space="preserve">Even though </w:t>
      </w:r>
      <w:r w:rsidR="00975D58">
        <w:rPr>
          <w:szCs w:val="24"/>
        </w:rPr>
        <w:t>th</w:t>
      </w:r>
      <w:r w:rsidR="00692ADA">
        <w:rPr>
          <w:szCs w:val="24"/>
        </w:rPr>
        <w:t>e</w:t>
      </w:r>
      <w:r w:rsidR="00975D58">
        <w:rPr>
          <w:szCs w:val="24"/>
        </w:rPr>
        <w:t xml:space="preserve"> ad</w:t>
      </w:r>
      <w:r w:rsidR="00235464">
        <w:rPr>
          <w:szCs w:val="24"/>
        </w:rPr>
        <w:t>s</w:t>
      </w:r>
      <w:r w:rsidR="00815D9B">
        <w:rPr>
          <w:szCs w:val="24"/>
        </w:rPr>
        <w:t xml:space="preserve"> referenc</w:t>
      </w:r>
      <w:r w:rsidR="00A63092">
        <w:rPr>
          <w:szCs w:val="24"/>
        </w:rPr>
        <w:t>ed</w:t>
      </w:r>
      <w:r w:rsidR="00815D9B">
        <w:rPr>
          <w:szCs w:val="24"/>
        </w:rPr>
        <w:t xml:space="preserve"> an “issue” consistent with the speaker’s purported agenda and includ</w:t>
      </w:r>
      <w:r w:rsidR="00A63092">
        <w:rPr>
          <w:szCs w:val="24"/>
        </w:rPr>
        <w:t>ed</w:t>
      </w:r>
      <w:r w:rsidR="00815D9B">
        <w:rPr>
          <w:szCs w:val="24"/>
        </w:rPr>
        <w:t xml:space="preserve"> a call to action to call the representative and express support—facts that would cause the controlling commissioners to deem these ads non-</w:t>
      </w:r>
      <w:r w:rsidR="00FD3A20">
        <w:rPr>
          <w:szCs w:val="24"/>
        </w:rPr>
        <w:t xml:space="preserve">political </w:t>
      </w:r>
      <w:r w:rsidR="00815D9B">
        <w:rPr>
          <w:szCs w:val="24"/>
        </w:rPr>
        <w:t>“issue” ads—</w:t>
      </w:r>
      <w:r w:rsidR="00975D58">
        <w:rPr>
          <w:szCs w:val="24"/>
        </w:rPr>
        <w:t>the Court understood the ad</w:t>
      </w:r>
      <w:r w:rsidR="00235464">
        <w:rPr>
          <w:szCs w:val="24"/>
        </w:rPr>
        <w:t>s</w:t>
      </w:r>
      <w:r w:rsidR="00975D58">
        <w:rPr>
          <w:szCs w:val="24"/>
        </w:rPr>
        <w:t xml:space="preserve"> w</w:t>
      </w:r>
      <w:r w:rsidR="00235464">
        <w:rPr>
          <w:szCs w:val="24"/>
        </w:rPr>
        <w:t xml:space="preserve">ere </w:t>
      </w:r>
      <w:r w:rsidR="00975D58">
        <w:rPr>
          <w:szCs w:val="24"/>
        </w:rPr>
        <w:t>election-related.</w:t>
      </w:r>
      <w:r w:rsidR="00235464">
        <w:rPr>
          <w:szCs w:val="24"/>
        </w:rPr>
        <w:t xml:space="preserve">  </w:t>
      </w:r>
      <w:r w:rsidR="00235464">
        <w:rPr>
          <w:i/>
          <w:szCs w:val="24"/>
        </w:rPr>
        <w:t>McConnell</w:t>
      </w:r>
      <w:r w:rsidR="00235464">
        <w:rPr>
          <w:szCs w:val="24"/>
        </w:rPr>
        <w:t xml:space="preserve">, 540 U.S. at 128, 196. </w:t>
      </w:r>
    </w:p>
    <w:p w14:paraId="3E91F3CE" w14:textId="3F0461C1" w:rsidR="00D73AEA" w:rsidRDefault="00D73AEA" w:rsidP="00815D9B">
      <w:pPr>
        <w:spacing w:line="480" w:lineRule="auto"/>
        <w:ind w:firstLine="720"/>
        <w:rPr>
          <w:szCs w:val="24"/>
        </w:rPr>
      </w:pPr>
      <w:r>
        <w:rPr>
          <w:i/>
          <w:szCs w:val="24"/>
        </w:rPr>
        <w:t>McConnell</w:t>
      </w:r>
      <w:r>
        <w:rPr>
          <w:szCs w:val="24"/>
        </w:rPr>
        <w:t xml:space="preserve">’s conclusion was recently </w:t>
      </w:r>
      <w:r w:rsidR="00C03DE2">
        <w:rPr>
          <w:szCs w:val="24"/>
        </w:rPr>
        <w:t>used</w:t>
      </w:r>
      <w:r>
        <w:rPr>
          <w:szCs w:val="24"/>
        </w:rPr>
        <w:t xml:space="preserve"> by a three-judge panel in this district</w:t>
      </w:r>
      <w:r w:rsidR="00C03DE2">
        <w:rPr>
          <w:szCs w:val="24"/>
        </w:rPr>
        <w:t xml:space="preserve"> to reject a test similar to the one proposed by the controlling commissioners</w:t>
      </w:r>
      <w:r>
        <w:rPr>
          <w:szCs w:val="24"/>
        </w:rPr>
        <w:t xml:space="preserve">.  </w:t>
      </w:r>
      <w:r>
        <w:rPr>
          <w:i/>
          <w:szCs w:val="24"/>
        </w:rPr>
        <w:t xml:space="preserve">See </w:t>
      </w:r>
      <w:proofErr w:type="spellStart"/>
      <w:r>
        <w:rPr>
          <w:i/>
          <w:szCs w:val="24"/>
        </w:rPr>
        <w:t>Indep</w:t>
      </w:r>
      <w:proofErr w:type="spellEnd"/>
      <w:r w:rsidR="00633C5A">
        <w:rPr>
          <w:i/>
          <w:szCs w:val="24"/>
        </w:rPr>
        <w:t>.</w:t>
      </w:r>
      <w:r>
        <w:rPr>
          <w:i/>
          <w:szCs w:val="24"/>
        </w:rPr>
        <w:t xml:space="preserve"> Inst</w:t>
      </w:r>
      <w:r w:rsidR="00633C5A">
        <w:rPr>
          <w:i/>
          <w:szCs w:val="24"/>
        </w:rPr>
        <w:t>.</w:t>
      </w:r>
      <w:r>
        <w:rPr>
          <w:i/>
          <w:szCs w:val="24"/>
        </w:rPr>
        <w:t xml:space="preserve"> v. FEC</w:t>
      </w:r>
      <w:r>
        <w:rPr>
          <w:szCs w:val="24"/>
        </w:rPr>
        <w:t>, No. 14-cv-1500, 2016 U.S. Dist. LEXI</w:t>
      </w:r>
      <w:r w:rsidR="003D5D8E">
        <w:rPr>
          <w:szCs w:val="24"/>
        </w:rPr>
        <w:t>S</w:t>
      </w:r>
      <w:r>
        <w:rPr>
          <w:szCs w:val="24"/>
        </w:rPr>
        <w:t xml:space="preserve"> 152623 (D.D.C. Nov. 3, 2016).  In that case, the three-judge panel considered a challenge to the FECA’s electioneering communication disclosure provisions.  </w:t>
      </w:r>
      <w:r>
        <w:rPr>
          <w:i/>
          <w:szCs w:val="24"/>
        </w:rPr>
        <w:t>Id.</w:t>
      </w:r>
      <w:r>
        <w:rPr>
          <w:szCs w:val="24"/>
        </w:rPr>
        <w:t xml:space="preserve"> at *7.  The </w:t>
      </w:r>
      <w:r w:rsidR="00C03DE2">
        <w:rPr>
          <w:szCs w:val="24"/>
        </w:rPr>
        <w:t>plaintiff</w:t>
      </w:r>
      <w:r>
        <w:rPr>
          <w:szCs w:val="24"/>
        </w:rPr>
        <w:t xml:space="preserve"> argued that because its ad “focused on pending legislation</w:t>
      </w:r>
      <w:r w:rsidR="00463DED">
        <w:rPr>
          <w:szCs w:val="24"/>
        </w:rPr>
        <w:t xml:space="preserve">,” </w:t>
      </w:r>
      <w:r w:rsidR="00C03DE2">
        <w:rPr>
          <w:szCs w:val="24"/>
        </w:rPr>
        <w:t xml:space="preserve">it </w:t>
      </w:r>
      <w:r>
        <w:rPr>
          <w:szCs w:val="24"/>
        </w:rPr>
        <w:t>w</w:t>
      </w:r>
      <w:r w:rsidR="00752BCF">
        <w:rPr>
          <w:szCs w:val="24"/>
        </w:rPr>
        <w:t>as a</w:t>
      </w:r>
      <w:r>
        <w:rPr>
          <w:szCs w:val="24"/>
        </w:rPr>
        <w:t xml:space="preserve"> “genuine” issue ad and could not subject </w:t>
      </w:r>
      <w:r w:rsidR="00752BCF">
        <w:rPr>
          <w:szCs w:val="24"/>
        </w:rPr>
        <w:t xml:space="preserve">the </w:t>
      </w:r>
      <w:r w:rsidR="00C03DE2">
        <w:rPr>
          <w:szCs w:val="24"/>
        </w:rPr>
        <w:t>plaintiff</w:t>
      </w:r>
      <w:r w:rsidR="00752BCF">
        <w:rPr>
          <w:szCs w:val="24"/>
        </w:rPr>
        <w:t xml:space="preserve"> </w:t>
      </w:r>
      <w:r>
        <w:rPr>
          <w:szCs w:val="24"/>
        </w:rPr>
        <w:t>to disclosure</w:t>
      </w:r>
      <w:r w:rsidR="00463DED">
        <w:rPr>
          <w:szCs w:val="24"/>
        </w:rPr>
        <w:t xml:space="preserve"> even if it also referenced a clearly identified candidate and was distributed to that candidate’s electorate shortly before the election.</w:t>
      </w:r>
      <w:r w:rsidR="00752BCF">
        <w:rPr>
          <w:szCs w:val="24"/>
        </w:rPr>
        <w:t xml:space="preserve"> </w:t>
      </w:r>
      <w:r>
        <w:rPr>
          <w:szCs w:val="24"/>
        </w:rPr>
        <w:t xml:space="preserve"> </w:t>
      </w:r>
      <w:r>
        <w:rPr>
          <w:i/>
          <w:szCs w:val="24"/>
        </w:rPr>
        <w:t>Id.</w:t>
      </w:r>
      <w:r>
        <w:rPr>
          <w:szCs w:val="24"/>
        </w:rPr>
        <w:t xml:space="preserve"> at *</w:t>
      </w:r>
      <w:r w:rsidR="00D75704">
        <w:rPr>
          <w:szCs w:val="24"/>
        </w:rPr>
        <w:t xml:space="preserve">23, </w:t>
      </w:r>
      <w:r>
        <w:rPr>
          <w:szCs w:val="24"/>
        </w:rPr>
        <w:t>26.  The three-j</w:t>
      </w:r>
      <w:r w:rsidR="00752BCF">
        <w:rPr>
          <w:szCs w:val="24"/>
        </w:rPr>
        <w:t>udge panel</w:t>
      </w:r>
      <w:r>
        <w:rPr>
          <w:szCs w:val="24"/>
        </w:rPr>
        <w:t xml:space="preserve"> found the </w:t>
      </w:r>
      <w:r w:rsidR="00C03DE2">
        <w:rPr>
          <w:szCs w:val="24"/>
        </w:rPr>
        <w:t>plaintiff’s</w:t>
      </w:r>
      <w:r>
        <w:rPr>
          <w:szCs w:val="24"/>
        </w:rPr>
        <w:t xml:space="preserve"> </w:t>
      </w:r>
      <w:r w:rsidR="00C03DE2">
        <w:rPr>
          <w:szCs w:val="24"/>
        </w:rPr>
        <w:t xml:space="preserve">proposed </w:t>
      </w:r>
      <w:r>
        <w:rPr>
          <w:szCs w:val="24"/>
        </w:rPr>
        <w:t>distinction—the one adopted by the controlling commissioners here—</w:t>
      </w:r>
      <w:r w:rsidR="00752BCF">
        <w:rPr>
          <w:szCs w:val="24"/>
        </w:rPr>
        <w:t>was</w:t>
      </w:r>
      <w:r>
        <w:rPr>
          <w:szCs w:val="24"/>
        </w:rPr>
        <w:t xml:space="preserve"> “entirely unworkable,” and found that it would “blink reality to try to divorce speech about legislative candidates from speech about the legislative issues for which they were responsible.”  </w:t>
      </w:r>
      <w:r>
        <w:rPr>
          <w:i/>
          <w:szCs w:val="24"/>
        </w:rPr>
        <w:t>Id.</w:t>
      </w:r>
      <w:r>
        <w:rPr>
          <w:szCs w:val="24"/>
        </w:rPr>
        <w:t xml:space="preserve"> at *26–27.  Importantly, the panel noted that the challenger’s “advertisement triggers those same informational interests” of “providing the electorate with information, deterring </w:t>
      </w:r>
      <w:r w:rsidR="00D75704">
        <w:rPr>
          <w:szCs w:val="24"/>
        </w:rPr>
        <w:t xml:space="preserve">actual corruption </w:t>
      </w:r>
      <w:r>
        <w:rPr>
          <w:szCs w:val="24"/>
        </w:rPr>
        <w:t xml:space="preserve">and avoiding any appearance thereof, and gathering the data necessary to enforce more substantive electioneering restrictions” </w:t>
      </w:r>
      <w:r w:rsidR="00D43743">
        <w:rPr>
          <w:szCs w:val="24"/>
        </w:rPr>
        <w:t>held to justify</w:t>
      </w:r>
      <w:r>
        <w:rPr>
          <w:szCs w:val="24"/>
        </w:rPr>
        <w:t xml:space="preserve"> disclosure because its ads “links an electoral candidate to a political issue—pending federal legislation . . . —and solicits voters to press the legislative candidate for his position on the legislation in the run up to an election.”  </w:t>
      </w:r>
      <w:r>
        <w:rPr>
          <w:i/>
          <w:szCs w:val="24"/>
        </w:rPr>
        <w:t>Id.</w:t>
      </w:r>
      <w:r>
        <w:rPr>
          <w:szCs w:val="24"/>
        </w:rPr>
        <w:t xml:space="preserve"> at *33.  “</w:t>
      </w:r>
      <w:r w:rsidRPr="00D73AEA">
        <w:rPr>
          <w:szCs w:val="24"/>
        </w:rPr>
        <w:t>Providing the electorate with information about the source of the advertisement</w:t>
      </w:r>
      <w:r w:rsidR="008967E4">
        <w:rPr>
          <w:szCs w:val="24"/>
        </w:rPr>
        <w:t>,” the panel found, including information about the ad</w:t>
      </w:r>
      <w:r w:rsidR="005C66DC">
        <w:rPr>
          <w:szCs w:val="24"/>
        </w:rPr>
        <w:t>’</w:t>
      </w:r>
      <w:r w:rsidR="008967E4">
        <w:rPr>
          <w:szCs w:val="24"/>
        </w:rPr>
        <w:t>s financial backers,</w:t>
      </w:r>
      <w:r w:rsidRPr="00D73AEA">
        <w:rPr>
          <w:szCs w:val="24"/>
        </w:rPr>
        <w:t xml:space="preserve"> </w:t>
      </w:r>
      <w:r w:rsidR="008967E4">
        <w:rPr>
          <w:szCs w:val="24"/>
        </w:rPr>
        <w:t>“</w:t>
      </w:r>
      <w:r w:rsidRPr="00D73AEA">
        <w:rPr>
          <w:szCs w:val="24"/>
        </w:rPr>
        <w:t>will allow voters to evaluate the message more critically and to more fairly determine the weight it should carry in their electoral judgments.</w:t>
      </w:r>
      <w:r>
        <w:rPr>
          <w:szCs w:val="24"/>
        </w:rPr>
        <w:t xml:space="preserve">”  </w:t>
      </w:r>
      <w:r>
        <w:rPr>
          <w:i/>
          <w:szCs w:val="24"/>
        </w:rPr>
        <w:t>Id.</w:t>
      </w:r>
      <w:r>
        <w:rPr>
          <w:szCs w:val="24"/>
        </w:rPr>
        <w:t xml:space="preserve"> at *34. </w:t>
      </w:r>
      <w:r w:rsidR="008967E4">
        <w:rPr>
          <w:szCs w:val="24"/>
        </w:rPr>
        <w:t xml:space="preserve"> </w:t>
      </w:r>
    </w:p>
    <w:p w14:paraId="6490AE33" w14:textId="4059C031" w:rsidR="003D5D8E" w:rsidRPr="003D5D8E" w:rsidRDefault="003D5D8E" w:rsidP="00815D9B">
      <w:pPr>
        <w:spacing w:line="480" w:lineRule="auto"/>
        <w:ind w:firstLine="720"/>
        <w:rPr>
          <w:szCs w:val="24"/>
        </w:rPr>
      </w:pPr>
      <w:r>
        <w:rPr>
          <w:szCs w:val="24"/>
        </w:rPr>
        <w:t xml:space="preserve">The panel’s rejection of the distinction between supposed “genuine” issue ads that </w:t>
      </w:r>
      <w:r w:rsidR="00D43743">
        <w:rPr>
          <w:szCs w:val="24"/>
        </w:rPr>
        <w:t>mention</w:t>
      </w:r>
      <w:r>
        <w:rPr>
          <w:szCs w:val="24"/>
        </w:rPr>
        <w:t xml:space="preserve"> a legislative issue</w:t>
      </w:r>
      <w:r w:rsidR="00D43743">
        <w:rPr>
          <w:szCs w:val="24"/>
        </w:rPr>
        <w:t xml:space="preserve"> while still clearly identifying a candidate</w:t>
      </w:r>
      <w:r>
        <w:rPr>
          <w:szCs w:val="24"/>
        </w:rPr>
        <w:t xml:space="preserve"> close to an election and other types of electioneering communications applies squarely to the controlling commissioners’ flawed test.  As the panel </w:t>
      </w:r>
      <w:r w:rsidR="00633C5A">
        <w:rPr>
          <w:szCs w:val="24"/>
        </w:rPr>
        <w:t>noted</w:t>
      </w:r>
      <w:r>
        <w:rPr>
          <w:szCs w:val="24"/>
        </w:rPr>
        <w:t xml:space="preserve">, </w:t>
      </w:r>
      <w:r w:rsidR="00633C5A">
        <w:rPr>
          <w:szCs w:val="24"/>
        </w:rPr>
        <w:t xml:space="preserve">both </w:t>
      </w:r>
      <w:r>
        <w:rPr>
          <w:i/>
          <w:szCs w:val="24"/>
        </w:rPr>
        <w:t xml:space="preserve">McConnell </w:t>
      </w:r>
      <w:r>
        <w:rPr>
          <w:szCs w:val="24"/>
        </w:rPr>
        <w:t xml:space="preserve">and </w:t>
      </w:r>
      <w:r>
        <w:rPr>
          <w:i/>
          <w:szCs w:val="24"/>
        </w:rPr>
        <w:t xml:space="preserve">Citizens </w:t>
      </w:r>
      <w:r w:rsidRPr="003D5D8E">
        <w:rPr>
          <w:i/>
          <w:szCs w:val="24"/>
        </w:rPr>
        <w:t>United</w:t>
      </w:r>
      <w:r>
        <w:rPr>
          <w:szCs w:val="24"/>
        </w:rPr>
        <w:t xml:space="preserve"> recognized voters’ important interest in knowing “who is speaking about a candidate shorty before an election,” and that interest equally justifies disclosure as to those ads that engage “in </w:t>
      </w:r>
      <w:r w:rsidRPr="003D5D8E">
        <w:rPr>
          <w:szCs w:val="24"/>
        </w:rPr>
        <w:t>a critique of the</w:t>
      </w:r>
      <w:r w:rsidR="00075A18">
        <w:rPr>
          <w:szCs w:val="24"/>
        </w:rPr>
        <w:t xml:space="preserve"> </w:t>
      </w:r>
      <w:r w:rsidRPr="003D5D8E">
        <w:rPr>
          <w:szCs w:val="24"/>
        </w:rPr>
        <w:t>candidate’s personal behavior</w:t>
      </w:r>
      <w:r>
        <w:rPr>
          <w:szCs w:val="24"/>
        </w:rPr>
        <w:t>” as well as those ads that engage in “</w:t>
      </w:r>
      <w:r w:rsidRPr="003D5D8E">
        <w:rPr>
          <w:szCs w:val="24"/>
        </w:rPr>
        <w:t>a sharp critique of a candidate’s position on legislation or public policy</w:t>
      </w:r>
      <w:r>
        <w:rPr>
          <w:szCs w:val="24"/>
        </w:rPr>
        <w:t xml:space="preserve">.”  </w:t>
      </w:r>
      <w:r>
        <w:rPr>
          <w:i/>
          <w:szCs w:val="24"/>
        </w:rPr>
        <w:t xml:space="preserve">Compare </w:t>
      </w:r>
      <w:r w:rsidR="00D75704" w:rsidRPr="009C5F77">
        <w:rPr>
          <w:i/>
          <w:szCs w:val="24"/>
        </w:rPr>
        <w:t>id.</w:t>
      </w:r>
      <w:r>
        <w:rPr>
          <w:szCs w:val="24"/>
        </w:rPr>
        <w:t xml:space="preserve"> </w:t>
      </w:r>
      <w:proofErr w:type="gramStart"/>
      <w:r>
        <w:rPr>
          <w:szCs w:val="24"/>
        </w:rPr>
        <w:t>at</w:t>
      </w:r>
      <w:proofErr w:type="gramEnd"/>
      <w:r>
        <w:rPr>
          <w:szCs w:val="24"/>
        </w:rPr>
        <w:t xml:space="preserve"> *25–26 </w:t>
      </w:r>
      <w:r>
        <w:rPr>
          <w:i/>
          <w:szCs w:val="24"/>
        </w:rPr>
        <w:t>with</w:t>
      </w:r>
      <w:r>
        <w:rPr>
          <w:szCs w:val="24"/>
        </w:rPr>
        <w:t xml:space="preserve"> </w:t>
      </w:r>
      <w:r w:rsidRPr="003D5D8E">
        <w:rPr>
          <w:szCs w:val="24"/>
        </w:rPr>
        <w:t>Ex. 2 at 6 n.23</w:t>
      </w:r>
      <w:r w:rsidR="00345A9F">
        <w:rPr>
          <w:szCs w:val="24"/>
        </w:rPr>
        <w:t>.</w:t>
      </w:r>
    </w:p>
    <w:p w14:paraId="0524F7E8" w14:textId="57D9C04D" w:rsidR="0021546E" w:rsidRDefault="00975D58" w:rsidP="003A373B">
      <w:pPr>
        <w:spacing w:line="480" w:lineRule="auto"/>
        <w:ind w:firstLine="720"/>
        <w:rPr>
          <w:szCs w:val="24"/>
        </w:rPr>
      </w:pPr>
      <w:r>
        <w:rPr>
          <w:szCs w:val="24"/>
        </w:rPr>
        <w:t>AAN’s elec</w:t>
      </w:r>
      <w:r w:rsidR="00815D9B">
        <w:rPr>
          <w:szCs w:val="24"/>
        </w:rPr>
        <w:t xml:space="preserve">tioneering communications are nearly identical to the ads Citizens for Better Medicare and Republicans for Clean Air ran and to the </w:t>
      </w:r>
      <w:r w:rsidR="00811111">
        <w:rPr>
          <w:szCs w:val="24"/>
        </w:rPr>
        <w:t xml:space="preserve">Supreme </w:t>
      </w:r>
      <w:r w:rsidR="00815D9B">
        <w:rPr>
          <w:szCs w:val="24"/>
        </w:rPr>
        <w:t>Court’s hypothetical “Jane Doe” ad</w:t>
      </w:r>
      <w:r w:rsidR="00752BCF">
        <w:rPr>
          <w:szCs w:val="24"/>
        </w:rPr>
        <w:t xml:space="preserve">, </w:t>
      </w:r>
      <w:r w:rsidR="004A50F9">
        <w:rPr>
          <w:szCs w:val="24"/>
        </w:rPr>
        <w:t xml:space="preserve">all discussed in the </w:t>
      </w:r>
      <w:r w:rsidR="004A50F9">
        <w:rPr>
          <w:i/>
          <w:szCs w:val="24"/>
        </w:rPr>
        <w:t xml:space="preserve">McConnell </w:t>
      </w:r>
      <w:r w:rsidR="004A50F9">
        <w:rPr>
          <w:szCs w:val="24"/>
        </w:rPr>
        <w:t xml:space="preserve">decision, </w:t>
      </w:r>
      <w:r w:rsidR="005C66DC">
        <w:rPr>
          <w:szCs w:val="24"/>
        </w:rPr>
        <w:t xml:space="preserve">as well as </w:t>
      </w:r>
      <w:r w:rsidR="00752BCF">
        <w:rPr>
          <w:szCs w:val="24"/>
        </w:rPr>
        <w:t>the ad recently before the three-judge panel</w:t>
      </w:r>
      <w:r w:rsidR="004A50F9">
        <w:rPr>
          <w:szCs w:val="24"/>
        </w:rPr>
        <w:t xml:space="preserve"> in </w:t>
      </w:r>
      <w:r w:rsidR="004A50F9">
        <w:rPr>
          <w:i/>
          <w:szCs w:val="24"/>
        </w:rPr>
        <w:t>Independence Institute</w:t>
      </w:r>
      <w:r w:rsidR="00815D9B">
        <w:rPr>
          <w:szCs w:val="24"/>
        </w:rPr>
        <w:t xml:space="preserve">.  </w:t>
      </w:r>
      <w:r w:rsidR="00F84252">
        <w:rPr>
          <w:szCs w:val="24"/>
        </w:rPr>
        <w:t>Nevertheless, w</w:t>
      </w:r>
      <w:r w:rsidR="0021546E">
        <w:rPr>
          <w:szCs w:val="24"/>
        </w:rPr>
        <w:t xml:space="preserve">hile </w:t>
      </w:r>
      <w:r w:rsidR="00F84252">
        <w:rPr>
          <w:szCs w:val="24"/>
        </w:rPr>
        <w:t xml:space="preserve">the controlling commissioners </w:t>
      </w:r>
      <w:r w:rsidR="0021546E">
        <w:rPr>
          <w:szCs w:val="24"/>
        </w:rPr>
        <w:t xml:space="preserve">apparently now concede that the First Amendment does not bar treating </w:t>
      </w:r>
      <w:r w:rsidR="00633C5A">
        <w:rPr>
          <w:szCs w:val="24"/>
        </w:rPr>
        <w:t xml:space="preserve">even a single electioneering communications </w:t>
      </w:r>
      <w:r w:rsidR="0021546E">
        <w:rPr>
          <w:szCs w:val="24"/>
        </w:rPr>
        <w:t xml:space="preserve">as election-related, they continue to misinterpret judicial precedent to treat many or even most </w:t>
      </w:r>
      <w:r w:rsidR="00F84252">
        <w:rPr>
          <w:szCs w:val="24"/>
        </w:rPr>
        <w:t xml:space="preserve">of AAN’s </w:t>
      </w:r>
      <w:r w:rsidR="0021546E">
        <w:rPr>
          <w:szCs w:val="24"/>
        </w:rPr>
        <w:t>electioneering communication as non-</w:t>
      </w:r>
      <w:r w:rsidR="00FD3A20">
        <w:rPr>
          <w:szCs w:val="24"/>
        </w:rPr>
        <w:t>political</w:t>
      </w:r>
      <w:r w:rsidR="00E1555E">
        <w:rPr>
          <w:szCs w:val="24"/>
        </w:rPr>
        <w:t xml:space="preserve"> merely because those ads also mention </w:t>
      </w:r>
      <w:r w:rsidR="00F84252">
        <w:rPr>
          <w:szCs w:val="24"/>
        </w:rPr>
        <w:t>legislation</w:t>
      </w:r>
      <w:r w:rsidR="0021546E">
        <w:rPr>
          <w:szCs w:val="24"/>
        </w:rPr>
        <w:t xml:space="preserve">.  That misinterpretation is contrary to law, however, and contravenes the Court’s September 19 Order. </w:t>
      </w:r>
    </w:p>
    <w:p w14:paraId="0209AD11" w14:textId="4E2EE726" w:rsidR="00C44847" w:rsidRDefault="00C44847" w:rsidP="00463DED">
      <w:pPr>
        <w:pStyle w:val="Heading3"/>
      </w:pPr>
      <w:r>
        <w:t>The Controlling Commissioner</w:t>
      </w:r>
      <w:r w:rsidR="00795894">
        <w:t>s</w:t>
      </w:r>
      <w:r>
        <w:t xml:space="preserve">’ Application of Their Test </w:t>
      </w:r>
      <w:r w:rsidR="004A50F9">
        <w:t>I</w:t>
      </w:r>
      <w:r>
        <w:t>s Arbitrary and Capricious</w:t>
      </w:r>
    </w:p>
    <w:p w14:paraId="308D2583" w14:textId="0FF071F3" w:rsidR="003A76A8" w:rsidRPr="00400F52" w:rsidRDefault="00232C0A" w:rsidP="00400F52">
      <w:pPr>
        <w:spacing w:line="480" w:lineRule="auto"/>
        <w:ind w:firstLine="720"/>
        <w:rPr>
          <w:szCs w:val="24"/>
        </w:rPr>
      </w:pPr>
      <w:r>
        <w:rPr>
          <w:szCs w:val="24"/>
        </w:rPr>
        <w:t xml:space="preserve">Even putting aside the </w:t>
      </w:r>
      <w:r w:rsidR="00595678">
        <w:rPr>
          <w:szCs w:val="24"/>
        </w:rPr>
        <w:t>impermissible interpretations</w:t>
      </w:r>
      <w:r>
        <w:rPr>
          <w:szCs w:val="24"/>
        </w:rPr>
        <w:t xml:space="preserve"> on which controlling commissioners rel</w:t>
      </w:r>
      <w:r w:rsidR="00ED2EE3">
        <w:rPr>
          <w:szCs w:val="24"/>
        </w:rPr>
        <w:t>ied</w:t>
      </w:r>
      <w:r>
        <w:rPr>
          <w:szCs w:val="24"/>
        </w:rPr>
        <w:t xml:space="preserve"> to craft their legally erroneous test, their application of that test was arbitrary and capricious and not in conformity with the Court’s September 19 Order.</w:t>
      </w:r>
      <w:r w:rsidR="00215A07">
        <w:rPr>
          <w:szCs w:val="24"/>
        </w:rPr>
        <w:t xml:space="preserve">  </w:t>
      </w:r>
      <w:r>
        <w:rPr>
          <w:szCs w:val="24"/>
        </w:rPr>
        <w:t>In particular</w:t>
      </w:r>
      <w:r w:rsidR="00DA7CB0">
        <w:rPr>
          <w:szCs w:val="24"/>
        </w:rPr>
        <w:t xml:space="preserve">, </w:t>
      </w:r>
      <w:r w:rsidR="00215A07">
        <w:rPr>
          <w:szCs w:val="24"/>
        </w:rPr>
        <w:t xml:space="preserve">in concluding that AAN’s </w:t>
      </w:r>
      <w:r w:rsidR="00227C0E">
        <w:rPr>
          <w:szCs w:val="24"/>
        </w:rPr>
        <w:t xml:space="preserve">ads </w:t>
      </w:r>
      <w:r w:rsidR="00215A07">
        <w:rPr>
          <w:szCs w:val="24"/>
        </w:rPr>
        <w:t xml:space="preserve">were focused </w:t>
      </w:r>
      <w:r w:rsidR="00DF591C">
        <w:rPr>
          <w:szCs w:val="24"/>
        </w:rPr>
        <w:t xml:space="preserve">not </w:t>
      </w:r>
      <w:r w:rsidR="00215A07">
        <w:rPr>
          <w:szCs w:val="24"/>
        </w:rPr>
        <w:t xml:space="preserve">on the election but rather on pushing legislation in </w:t>
      </w:r>
      <w:r w:rsidR="00DF591C">
        <w:rPr>
          <w:szCs w:val="24"/>
        </w:rPr>
        <w:t xml:space="preserve">an </w:t>
      </w:r>
      <w:r w:rsidR="00215A07">
        <w:rPr>
          <w:szCs w:val="24"/>
        </w:rPr>
        <w:t>upcoming lame</w:t>
      </w:r>
      <w:r w:rsidR="00DF591C">
        <w:rPr>
          <w:szCs w:val="24"/>
        </w:rPr>
        <w:t xml:space="preserve"> </w:t>
      </w:r>
      <w:r w:rsidR="00215A07">
        <w:rPr>
          <w:szCs w:val="24"/>
        </w:rPr>
        <w:t xml:space="preserve">duck session of Congress, </w:t>
      </w:r>
      <w:r w:rsidR="00DA7CB0">
        <w:rPr>
          <w:szCs w:val="24"/>
        </w:rPr>
        <w:t>the controlling commissioner</w:t>
      </w:r>
      <w:r w:rsidR="00FA2EF8">
        <w:rPr>
          <w:szCs w:val="24"/>
        </w:rPr>
        <w:t xml:space="preserve">s </w:t>
      </w:r>
      <w:r w:rsidR="003E6EFA">
        <w:rPr>
          <w:szCs w:val="24"/>
        </w:rPr>
        <w:t xml:space="preserve">erred in </w:t>
      </w:r>
      <w:r w:rsidR="00236274">
        <w:rPr>
          <w:szCs w:val="24"/>
        </w:rPr>
        <w:t xml:space="preserve">several </w:t>
      </w:r>
      <w:r w:rsidR="003E6EFA">
        <w:rPr>
          <w:szCs w:val="24"/>
        </w:rPr>
        <w:t xml:space="preserve">ways warranting reversal.  First, they </w:t>
      </w:r>
      <w:r w:rsidR="00FA2EF8">
        <w:rPr>
          <w:szCs w:val="24"/>
        </w:rPr>
        <w:t xml:space="preserve">limited themselves to </w:t>
      </w:r>
      <w:r w:rsidR="00DF591C">
        <w:rPr>
          <w:szCs w:val="24"/>
        </w:rPr>
        <w:t xml:space="preserve">each </w:t>
      </w:r>
      <w:r w:rsidR="00FA2EF8">
        <w:rPr>
          <w:szCs w:val="24"/>
        </w:rPr>
        <w:t xml:space="preserve">“ad’s specific language,” while ignoring the full </w:t>
      </w:r>
      <w:r w:rsidR="003A76A8">
        <w:rPr>
          <w:szCs w:val="24"/>
        </w:rPr>
        <w:t>content communicated by the ad.</w:t>
      </w:r>
      <w:r w:rsidR="00FA2EF8">
        <w:rPr>
          <w:szCs w:val="24"/>
        </w:rPr>
        <w:t xml:space="preserve">  </w:t>
      </w:r>
      <w:r w:rsidR="002E19B9">
        <w:rPr>
          <w:szCs w:val="24"/>
        </w:rPr>
        <w:t xml:space="preserve">Ex. 2 at 5.  </w:t>
      </w:r>
      <w:r w:rsidR="00FA2EF8">
        <w:rPr>
          <w:szCs w:val="24"/>
        </w:rPr>
        <w:t xml:space="preserve">Further, </w:t>
      </w:r>
      <w:r>
        <w:rPr>
          <w:szCs w:val="24"/>
        </w:rPr>
        <w:t>while the</w:t>
      </w:r>
      <w:r w:rsidR="00DF591C">
        <w:rPr>
          <w:szCs w:val="24"/>
        </w:rPr>
        <w:t xml:space="preserve"> controlling commissioners</w:t>
      </w:r>
      <w:r>
        <w:rPr>
          <w:szCs w:val="24"/>
        </w:rPr>
        <w:t xml:space="preserve"> stated they would “consider information beyond the content of the ad . . . to the extent necessary to provide context to better understand the message being conveyed,” </w:t>
      </w:r>
      <w:r w:rsidR="002E19B9" w:rsidRPr="009C5F77">
        <w:rPr>
          <w:i/>
          <w:szCs w:val="24"/>
        </w:rPr>
        <w:t>id.</w:t>
      </w:r>
      <w:r w:rsidR="002E19B9">
        <w:rPr>
          <w:szCs w:val="24"/>
        </w:rPr>
        <w:t xml:space="preserve"> </w:t>
      </w:r>
      <w:proofErr w:type="gramStart"/>
      <w:r w:rsidR="002E19B9">
        <w:rPr>
          <w:szCs w:val="24"/>
        </w:rPr>
        <w:t>at</w:t>
      </w:r>
      <w:proofErr w:type="gramEnd"/>
      <w:r w:rsidR="002E19B9">
        <w:rPr>
          <w:szCs w:val="24"/>
        </w:rPr>
        <w:t xml:space="preserve"> 6</w:t>
      </w:r>
      <w:r>
        <w:rPr>
          <w:szCs w:val="24"/>
        </w:rPr>
        <w:t xml:space="preserve">, they arbitrarily and capriciously limited the information </w:t>
      </w:r>
      <w:r w:rsidR="00DF591C">
        <w:rPr>
          <w:szCs w:val="24"/>
        </w:rPr>
        <w:t xml:space="preserve">used to provide context </w:t>
      </w:r>
      <w:r>
        <w:rPr>
          <w:szCs w:val="24"/>
        </w:rPr>
        <w:t xml:space="preserve">solely to </w:t>
      </w:r>
      <w:r w:rsidR="00DF591C">
        <w:rPr>
          <w:szCs w:val="24"/>
        </w:rPr>
        <w:t xml:space="preserve">facts about what legislation might </w:t>
      </w:r>
      <w:r w:rsidR="00633C5A">
        <w:rPr>
          <w:szCs w:val="24"/>
        </w:rPr>
        <w:t>be considered in</w:t>
      </w:r>
      <w:r w:rsidR="00DF591C">
        <w:rPr>
          <w:szCs w:val="24"/>
        </w:rPr>
        <w:t xml:space="preserve"> the lame duck session, </w:t>
      </w:r>
      <w:r>
        <w:rPr>
          <w:szCs w:val="24"/>
        </w:rPr>
        <w:t xml:space="preserve">ignoring other </w:t>
      </w:r>
      <w:r w:rsidR="00595678">
        <w:rPr>
          <w:szCs w:val="24"/>
        </w:rPr>
        <w:t>equally</w:t>
      </w:r>
      <w:r>
        <w:rPr>
          <w:szCs w:val="24"/>
        </w:rPr>
        <w:t xml:space="preserve"> relevant contextual </w:t>
      </w:r>
      <w:r w:rsidR="00DF591C">
        <w:rPr>
          <w:szCs w:val="24"/>
        </w:rPr>
        <w:t xml:space="preserve">information </w:t>
      </w:r>
      <w:r>
        <w:rPr>
          <w:szCs w:val="24"/>
        </w:rPr>
        <w:t xml:space="preserve">about the ads that indicate their electoral purposes.  </w:t>
      </w:r>
      <w:r w:rsidR="00FD3A20">
        <w:rPr>
          <w:szCs w:val="24"/>
        </w:rPr>
        <w:t>Finally, t</w:t>
      </w:r>
      <w:r>
        <w:rPr>
          <w:szCs w:val="24"/>
        </w:rPr>
        <w:t xml:space="preserve">he controlling commissioners’ </w:t>
      </w:r>
      <w:r w:rsidR="00DF591C">
        <w:rPr>
          <w:szCs w:val="24"/>
        </w:rPr>
        <w:t xml:space="preserve">factual </w:t>
      </w:r>
      <w:r>
        <w:rPr>
          <w:szCs w:val="24"/>
        </w:rPr>
        <w:t xml:space="preserve">conclusion that AAN’s ads </w:t>
      </w:r>
      <w:r w:rsidR="00FD3A20">
        <w:rPr>
          <w:szCs w:val="24"/>
        </w:rPr>
        <w:t xml:space="preserve">were </w:t>
      </w:r>
      <w:r>
        <w:rPr>
          <w:szCs w:val="24"/>
        </w:rPr>
        <w:t>related to legislation being considered in the lame</w:t>
      </w:r>
      <w:r w:rsidR="00DF591C">
        <w:rPr>
          <w:szCs w:val="24"/>
        </w:rPr>
        <w:t xml:space="preserve"> </w:t>
      </w:r>
      <w:r>
        <w:rPr>
          <w:szCs w:val="24"/>
        </w:rPr>
        <w:t>duck session is arbitrary and capricious</w:t>
      </w:r>
      <w:r w:rsidR="00DF591C">
        <w:rPr>
          <w:szCs w:val="24"/>
        </w:rPr>
        <w:t xml:space="preserve"> because </w:t>
      </w:r>
      <w:r w:rsidR="001E0688">
        <w:rPr>
          <w:szCs w:val="24"/>
        </w:rPr>
        <w:t xml:space="preserve">no reasonable interpretation of the ads would support a conclusion that they </w:t>
      </w:r>
      <w:r w:rsidR="00DF591C">
        <w:rPr>
          <w:szCs w:val="24"/>
        </w:rPr>
        <w:t xml:space="preserve">actually </w:t>
      </w:r>
      <w:r w:rsidR="001E0688">
        <w:rPr>
          <w:szCs w:val="24"/>
        </w:rPr>
        <w:t>were focused on the lame</w:t>
      </w:r>
      <w:r w:rsidR="00DF591C">
        <w:rPr>
          <w:szCs w:val="24"/>
        </w:rPr>
        <w:t xml:space="preserve"> </w:t>
      </w:r>
      <w:r w:rsidR="001E0688">
        <w:rPr>
          <w:szCs w:val="24"/>
        </w:rPr>
        <w:t>duck session.</w:t>
      </w:r>
      <w:r w:rsidR="00090788">
        <w:rPr>
          <w:rStyle w:val="FootnoteReference"/>
          <w:szCs w:val="24"/>
        </w:rPr>
        <w:footnoteReference w:id="6"/>
      </w:r>
      <w:r w:rsidR="00E323B0">
        <w:rPr>
          <w:szCs w:val="24"/>
        </w:rPr>
        <w:t xml:space="preserve">  These errors affect the controlling commissioners’ consideration of each and every one of AAN’s electioneering communications deemed nonpolitical, but at the very least affect enough ads to push AAN’s share of campaign activity well over fifty percent.</w:t>
      </w:r>
    </w:p>
    <w:p w14:paraId="34FBAD77" w14:textId="1650377E" w:rsidR="00FA2EF8" w:rsidRDefault="0005212F" w:rsidP="00FA2EF8">
      <w:pPr>
        <w:spacing w:line="480" w:lineRule="auto"/>
        <w:ind w:firstLine="720"/>
      </w:pPr>
      <w:r>
        <w:rPr>
          <w:szCs w:val="24"/>
        </w:rPr>
        <w:t xml:space="preserve">First, </w:t>
      </w:r>
      <w:r w:rsidR="00DF591C">
        <w:t xml:space="preserve">in </w:t>
      </w:r>
      <w:r w:rsidR="00FA2EF8">
        <w:t>looking at the “language of the communication” to discern its purpose, the controlling commissioners ignored the complete picture presented in AAN’s ads.  The controlling commissioners rel</w:t>
      </w:r>
      <w:r w:rsidR="00DF591C">
        <w:t>ied</w:t>
      </w:r>
      <w:r w:rsidR="00FA2EF8">
        <w:t xml:space="preserve"> solely on dry transcripts which, while evidencing a political purpose in their own right, are divorced from the full message conveyed by the videos of the ads.  Those videos often include grainy images of the referenced candidate and ominous music</w:t>
      </w:r>
      <w:r w:rsidR="00FD3A20">
        <w:t>, and</w:t>
      </w:r>
      <w:r w:rsidR="00FA2EF8">
        <w:t xml:space="preserve"> </w:t>
      </w:r>
      <w:r w:rsidR="00FD3A20">
        <w:t>m</w:t>
      </w:r>
      <w:r w:rsidR="00FA2EF8">
        <w:t>essages are conveyed in disapproving tones</w:t>
      </w:r>
      <w:r w:rsidR="00861A3C">
        <w:t xml:space="preserve">.  </w:t>
      </w:r>
      <w:r w:rsidR="00861A3C">
        <w:rPr>
          <w:i/>
        </w:rPr>
        <w:t xml:space="preserve">See </w:t>
      </w:r>
      <w:r w:rsidR="00861A3C" w:rsidRPr="00861A3C">
        <w:t>http://www.citizensforethics.org/american-action-network-aan-ads</w:t>
      </w:r>
      <w:r w:rsidR="00861A3C" w:rsidRPr="00861A3C">
        <w:rPr>
          <w:i/>
        </w:rPr>
        <w:t>/</w:t>
      </w:r>
      <w:r w:rsidR="00FA2EF8">
        <w:t>.  When considering the complete ads as they were seen by viewers, their electoral purposes are readily apparent.  The controlling commissioners provide no justification for arbitrarily ignoring the visual and auditory portions of the ad</w:t>
      </w:r>
      <w:r w:rsidR="00FD3A20">
        <w:t>s</w:t>
      </w:r>
      <w:r w:rsidR="00FA2EF8">
        <w:t xml:space="preserve"> even though those portions were communicated along with </w:t>
      </w:r>
      <w:r w:rsidR="004A50F9">
        <w:t>the language</w:t>
      </w:r>
      <w:r w:rsidR="00FA2EF8">
        <w:t xml:space="preserve">. </w:t>
      </w:r>
    </w:p>
    <w:p w14:paraId="7EC8AD58" w14:textId="7017ECD2" w:rsidR="00F84252" w:rsidRPr="00E57599" w:rsidRDefault="00F84252" w:rsidP="00FA2EF8">
      <w:pPr>
        <w:spacing w:line="480" w:lineRule="auto"/>
        <w:ind w:firstLine="720"/>
      </w:pPr>
      <w:r>
        <w:t xml:space="preserve">Further, </w:t>
      </w:r>
      <w:r w:rsidR="004A50F9">
        <w:t xml:space="preserve">the controlling commissioners </w:t>
      </w:r>
      <w:r>
        <w:t>take only the most cursory notice of the ads</w:t>
      </w:r>
      <w:r w:rsidR="00B279ED">
        <w:t>’</w:t>
      </w:r>
      <w:r>
        <w:t xml:space="preserve"> discussion of the policies that the</w:t>
      </w:r>
      <w:r w:rsidR="004A50F9">
        <w:t xml:space="preserve">se </w:t>
      </w:r>
      <w:r>
        <w:t xml:space="preserve">commissioners deem so essential to their analysis.  They </w:t>
      </w:r>
      <w:r w:rsidR="00463DED">
        <w:t>note</w:t>
      </w:r>
      <w:r>
        <w:t xml:space="preserve"> the fact </w:t>
      </w:r>
      <w:r w:rsidR="004A50F9">
        <w:t xml:space="preserve">that </w:t>
      </w:r>
      <w:r>
        <w:t xml:space="preserve">the ads urge viewers to ask their </w:t>
      </w:r>
      <w:r w:rsidR="00463DED">
        <w:t>representative</w:t>
      </w:r>
      <w:r w:rsidR="00463DED" w:rsidRPr="00F84252">
        <w:t xml:space="preserve"> </w:t>
      </w:r>
      <w:r w:rsidRPr="00F84252">
        <w:t xml:space="preserve">to take a certain position, </w:t>
      </w:r>
      <w:r>
        <w:t>but ignore the fact that</w:t>
      </w:r>
      <w:r w:rsidRPr="00F84252">
        <w:t xml:space="preserve"> the same ads </w:t>
      </w:r>
      <w:r>
        <w:t xml:space="preserve">also </w:t>
      </w:r>
      <w:r w:rsidRPr="00F84252">
        <w:t xml:space="preserve">informed viewers that the </w:t>
      </w:r>
      <w:r w:rsidR="00463DED">
        <w:t>representative</w:t>
      </w:r>
      <w:r w:rsidR="00463DED" w:rsidRPr="00F84252">
        <w:t xml:space="preserve"> </w:t>
      </w:r>
      <w:r w:rsidRPr="00F84252">
        <w:t xml:space="preserve">opposed that position, that the </w:t>
      </w:r>
      <w:r w:rsidR="00463DED">
        <w:t>representative</w:t>
      </w:r>
      <w:r w:rsidRPr="00F84252">
        <w:t xml:space="preserve"> previously took highly criticized actions in opposition to that position, and that the </w:t>
      </w:r>
      <w:r w:rsidR="00463DED">
        <w:t>representative</w:t>
      </w:r>
      <w:r w:rsidRPr="00F84252">
        <w:t xml:space="preserve"> wanted to further harm the voters by acting contrary to that position in the future.  </w:t>
      </w:r>
      <w:r w:rsidRPr="00463DED">
        <w:rPr>
          <w:i/>
        </w:rPr>
        <w:t>See, e.g.</w:t>
      </w:r>
      <w:r w:rsidRPr="00F84252">
        <w:t xml:space="preserve">, Ex. 2 at 9, 11, 12 (discussing AAN’s “Wallpaper,” “Back Pack,” and “Naked” ads, which ads asked voters to tell the candidate to “vote for a tax cut” or “vote to cut spending” despite the ad informing voters that the candidate “spent nearly eight hundred billion on the wasteful stimulus,” “loaded our kids up with nearly eight hundred billion in wasteful stimulus spending,” and “spent the shirt of our backs”; and despite further informing the voters that the candidate “wants to raise taxes,” “wants to pile on more spending,” and “wants to strip [his constituents] </w:t>
      </w:r>
      <w:proofErr w:type="spellStart"/>
      <w:r w:rsidRPr="00F84252">
        <w:t>bare with</w:t>
      </w:r>
      <w:proofErr w:type="spellEnd"/>
      <w:r w:rsidRPr="00F84252">
        <w:t xml:space="preserve"> more spending,” respectively).</w:t>
      </w:r>
      <w:r>
        <w:t xml:space="preserve">  All of that</w:t>
      </w:r>
      <w:r w:rsidR="003338A0">
        <w:t xml:space="preserve"> negative</w:t>
      </w:r>
      <w:r>
        <w:t xml:space="preserve"> discussion</w:t>
      </w:r>
      <w:r w:rsidR="003338A0">
        <w:t xml:space="preserve"> of the representatives</w:t>
      </w:r>
      <w:r>
        <w:t xml:space="preserve"> would be quite unnecessary if the point of the ad</w:t>
      </w:r>
      <w:r w:rsidR="00B279ED">
        <w:t>s</w:t>
      </w:r>
      <w:r>
        <w:t xml:space="preserve"> was to convince viewers to favor AAN’s preferred policies and to communicate that view to their representative.  Yet the controlling commissioners simply declare, </w:t>
      </w:r>
      <w:r w:rsidR="002A2370">
        <w:t>without explanation or justification</w:t>
      </w:r>
      <w:r>
        <w:t xml:space="preserve">, that “criticizing an officeholder’s past positions on legislative issues” does not indicate an electoral purpose. </w:t>
      </w:r>
      <w:r w:rsidR="00633C5A">
        <w:t xml:space="preserve"> </w:t>
      </w:r>
      <w:r>
        <w:t xml:space="preserve">Ex. 2 at 10. </w:t>
      </w:r>
    </w:p>
    <w:p w14:paraId="378B6758" w14:textId="1436B393" w:rsidR="00704D74" w:rsidRDefault="007F11CC" w:rsidP="007F11CC">
      <w:pPr>
        <w:spacing w:line="480" w:lineRule="auto"/>
        <w:rPr>
          <w:szCs w:val="24"/>
        </w:rPr>
      </w:pPr>
      <w:r>
        <w:rPr>
          <w:szCs w:val="24"/>
        </w:rPr>
        <w:tab/>
        <w:t xml:space="preserve">Second, </w:t>
      </w:r>
      <w:r w:rsidR="000F443A">
        <w:rPr>
          <w:szCs w:val="24"/>
        </w:rPr>
        <w:t xml:space="preserve">while </w:t>
      </w:r>
      <w:r w:rsidR="0005212F">
        <w:rPr>
          <w:szCs w:val="24"/>
        </w:rPr>
        <w:t xml:space="preserve">the controlling commissioners </w:t>
      </w:r>
      <w:r w:rsidR="00236274">
        <w:rPr>
          <w:szCs w:val="24"/>
        </w:rPr>
        <w:t xml:space="preserve">asserted that an ad’s context can be considered, </w:t>
      </w:r>
      <w:r w:rsidR="000F443A">
        <w:rPr>
          <w:szCs w:val="24"/>
        </w:rPr>
        <w:t xml:space="preserve">they </w:t>
      </w:r>
      <w:r w:rsidR="00236274">
        <w:rPr>
          <w:szCs w:val="24"/>
        </w:rPr>
        <w:t xml:space="preserve">unreasonably limited the information used to provide </w:t>
      </w:r>
      <w:r w:rsidR="00E66D9D">
        <w:rPr>
          <w:szCs w:val="24"/>
        </w:rPr>
        <w:t xml:space="preserve">that </w:t>
      </w:r>
      <w:r w:rsidR="00236274">
        <w:rPr>
          <w:szCs w:val="24"/>
        </w:rPr>
        <w:t xml:space="preserve">context.  </w:t>
      </w:r>
      <w:r w:rsidR="000F443A">
        <w:rPr>
          <w:szCs w:val="24"/>
        </w:rPr>
        <w:t xml:space="preserve">The objective of an </w:t>
      </w:r>
      <w:r w:rsidR="005D4FA7">
        <w:rPr>
          <w:szCs w:val="24"/>
        </w:rPr>
        <w:t>ad-by-ad analysis</w:t>
      </w:r>
      <w:r w:rsidR="000F443A">
        <w:rPr>
          <w:szCs w:val="24"/>
        </w:rPr>
        <w:t xml:space="preserve"> is </w:t>
      </w:r>
      <w:r w:rsidR="005D4FA7">
        <w:rPr>
          <w:szCs w:val="24"/>
        </w:rPr>
        <w:t>to dete</w:t>
      </w:r>
      <w:r w:rsidR="00E66D9D">
        <w:rPr>
          <w:szCs w:val="24"/>
        </w:rPr>
        <w:t xml:space="preserve">rmine if the purpose of each ad was the nomination or election of a candidate.  The controlling commissioners, however, only </w:t>
      </w:r>
      <w:r w:rsidR="00FD3A20">
        <w:rPr>
          <w:szCs w:val="24"/>
        </w:rPr>
        <w:t>considered</w:t>
      </w:r>
      <w:r w:rsidR="00E66D9D">
        <w:rPr>
          <w:szCs w:val="24"/>
        </w:rPr>
        <w:t xml:space="preserve"> contextual information regarding legislation that might be voted on in the lame duck session,</w:t>
      </w:r>
      <w:r w:rsidR="0005212F">
        <w:rPr>
          <w:szCs w:val="24"/>
        </w:rPr>
        <w:t xml:space="preserve"> </w:t>
      </w:r>
      <w:r w:rsidR="00E66D9D">
        <w:rPr>
          <w:i/>
          <w:szCs w:val="24"/>
        </w:rPr>
        <w:t>s</w:t>
      </w:r>
      <w:r w:rsidR="003B3E9C">
        <w:rPr>
          <w:i/>
          <w:szCs w:val="24"/>
        </w:rPr>
        <w:t>ee, e.g.</w:t>
      </w:r>
      <w:r w:rsidR="003B3E9C">
        <w:rPr>
          <w:szCs w:val="24"/>
        </w:rPr>
        <w:t>,</w:t>
      </w:r>
      <w:r w:rsidR="0005212F">
        <w:rPr>
          <w:szCs w:val="24"/>
        </w:rPr>
        <w:t xml:space="preserve"> Ex. 2 </w:t>
      </w:r>
      <w:r w:rsidR="003B3E9C">
        <w:rPr>
          <w:szCs w:val="24"/>
        </w:rPr>
        <w:t xml:space="preserve">at 6–8 </w:t>
      </w:r>
      <w:proofErr w:type="spellStart"/>
      <w:r w:rsidR="0005212F">
        <w:rPr>
          <w:szCs w:val="24"/>
        </w:rPr>
        <w:t>nn</w:t>
      </w:r>
      <w:proofErr w:type="spellEnd"/>
      <w:r w:rsidR="0005212F">
        <w:rPr>
          <w:szCs w:val="24"/>
        </w:rPr>
        <w:t xml:space="preserve">. </w:t>
      </w:r>
      <w:r w:rsidR="003B3E9C">
        <w:rPr>
          <w:szCs w:val="24"/>
        </w:rPr>
        <w:t>27–37</w:t>
      </w:r>
      <w:r w:rsidR="00E66D9D">
        <w:rPr>
          <w:szCs w:val="24"/>
        </w:rPr>
        <w:t xml:space="preserve">, </w:t>
      </w:r>
      <w:r w:rsidR="00BA1DD1">
        <w:rPr>
          <w:szCs w:val="24"/>
        </w:rPr>
        <w:t xml:space="preserve">while </w:t>
      </w:r>
      <w:r w:rsidR="00E66D9D">
        <w:rPr>
          <w:szCs w:val="24"/>
        </w:rPr>
        <w:t>c</w:t>
      </w:r>
      <w:r w:rsidR="00C90342">
        <w:rPr>
          <w:szCs w:val="24"/>
        </w:rPr>
        <w:t>ompletely ignor</w:t>
      </w:r>
      <w:r w:rsidR="00BA1DD1">
        <w:rPr>
          <w:szCs w:val="24"/>
        </w:rPr>
        <w:t>ing</w:t>
      </w:r>
      <w:r w:rsidR="00C90342">
        <w:rPr>
          <w:szCs w:val="24"/>
        </w:rPr>
        <w:t xml:space="preserve"> </w:t>
      </w:r>
      <w:r w:rsidR="00E66D9D">
        <w:rPr>
          <w:szCs w:val="24"/>
        </w:rPr>
        <w:t>facts indicating the ads were electoral.</w:t>
      </w:r>
      <w:r w:rsidR="00BA1DD1">
        <w:rPr>
          <w:szCs w:val="24"/>
        </w:rPr>
        <w:t xml:space="preserve">  Any reasonable review of the context of AAN’s ads would </w:t>
      </w:r>
      <w:r w:rsidR="00FD3A20">
        <w:rPr>
          <w:szCs w:val="24"/>
        </w:rPr>
        <w:t xml:space="preserve">take into account </w:t>
      </w:r>
      <w:r w:rsidR="00BA1DD1">
        <w:rPr>
          <w:szCs w:val="24"/>
        </w:rPr>
        <w:t xml:space="preserve">that all of the </w:t>
      </w:r>
      <w:r w:rsidR="00227C0E">
        <w:rPr>
          <w:szCs w:val="24"/>
        </w:rPr>
        <w:t>ads</w:t>
      </w:r>
      <w:r w:rsidR="00C90342">
        <w:rPr>
          <w:szCs w:val="24"/>
        </w:rPr>
        <w:t xml:space="preserve"> referred </w:t>
      </w:r>
      <w:r w:rsidR="00C90342" w:rsidRPr="00931537">
        <w:rPr>
          <w:szCs w:val="24"/>
        </w:rPr>
        <w:t>only</w:t>
      </w:r>
      <w:r w:rsidR="00C90342">
        <w:rPr>
          <w:szCs w:val="24"/>
        </w:rPr>
        <w:t xml:space="preserve"> to </w:t>
      </w:r>
      <w:r w:rsidR="00BA1DD1">
        <w:rPr>
          <w:szCs w:val="24"/>
        </w:rPr>
        <w:t>Democratic incumbents in closely-contested races</w:t>
      </w:r>
      <w:r w:rsidR="003338A0">
        <w:rPr>
          <w:szCs w:val="24"/>
        </w:rPr>
        <w:t>—save the few that referred to Democratic challenge</w:t>
      </w:r>
      <w:r w:rsidR="009C5F77">
        <w:rPr>
          <w:szCs w:val="24"/>
        </w:rPr>
        <w:t>r</w:t>
      </w:r>
      <w:r w:rsidR="003338A0">
        <w:rPr>
          <w:szCs w:val="24"/>
        </w:rPr>
        <w:t xml:space="preserve">s who held no office at the time and one reference to a Republican candidate to contrast </w:t>
      </w:r>
      <w:r w:rsidR="009C5F77">
        <w:rPr>
          <w:szCs w:val="24"/>
        </w:rPr>
        <w:t xml:space="preserve">positively </w:t>
      </w:r>
      <w:r w:rsidR="003338A0">
        <w:rPr>
          <w:szCs w:val="24"/>
        </w:rPr>
        <w:t>with her opponent—even</w:t>
      </w:r>
      <w:r w:rsidR="005F70AF">
        <w:rPr>
          <w:szCs w:val="24"/>
        </w:rPr>
        <w:t xml:space="preserve"> though a much larger number of </w:t>
      </w:r>
      <w:r w:rsidR="00FD3A20">
        <w:rPr>
          <w:szCs w:val="24"/>
        </w:rPr>
        <w:t>House members and Senators</w:t>
      </w:r>
      <w:r w:rsidR="005F70AF">
        <w:rPr>
          <w:szCs w:val="24"/>
        </w:rPr>
        <w:t xml:space="preserve"> (indeed, all then-sitting </w:t>
      </w:r>
      <w:r w:rsidR="00BA1DD1">
        <w:rPr>
          <w:szCs w:val="24"/>
        </w:rPr>
        <w:t>members</w:t>
      </w:r>
      <w:r w:rsidR="005F70AF">
        <w:rPr>
          <w:szCs w:val="24"/>
        </w:rPr>
        <w:t>) would be voting in the lame</w:t>
      </w:r>
      <w:r w:rsidR="00BA1DD1">
        <w:rPr>
          <w:szCs w:val="24"/>
        </w:rPr>
        <w:t xml:space="preserve"> </w:t>
      </w:r>
      <w:r w:rsidR="005F70AF">
        <w:rPr>
          <w:szCs w:val="24"/>
        </w:rPr>
        <w:t>duck</w:t>
      </w:r>
      <w:r w:rsidR="00BA1DD1">
        <w:rPr>
          <w:szCs w:val="24"/>
        </w:rPr>
        <w:t xml:space="preserve"> session</w:t>
      </w:r>
      <w:r w:rsidR="00C90342">
        <w:rPr>
          <w:szCs w:val="24"/>
        </w:rPr>
        <w:t xml:space="preserve">.  </w:t>
      </w:r>
      <w:r w:rsidR="00704D74">
        <w:rPr>
          <w:szCs w:val="24"/>
        </w:rPr>
        <w:t>This context is critical to understanding how the messages in the ads were received.</w:t>
      </w:r>
    </w:p>
    <w:p w14:paraId="1458D682" w14:textId="1193C82D" w:rsidR="00704D74" w:rsidRDefault="00704D74" w:rsidP="00773722">
      <w:pPr>
        <w:spacing w:line="480" w:lineRule="auto"/>
        <w:ind w:firstLine="720"/>
        <w:rPr>
          <w:szCs w:val="24"/>
        </w:rPr>
      </w:pPr>
      <w:r>
        <w:rPr>
          <w:szCs w:val="24"/>
        </w:rPr>
        <w:t>The ads AAN ran in Virginia are instructive.  W</w:t>
      </w:r>
      <w:r w:rsidR="005F70AF">
        <w:rPr>
          <w:szCs w:val="24"/>
        </w:rPr>
        <w:t xml:space="preserve">hile AAN ran </w:t>
      </w:r>
      <w:r w:rsidR="00F266D6">
        <w:rPr>
          <w:szCs w:val="24"/>
        </w:rPr>
        <w:t xml:space="preserve">ads against </w:t>
      </w:r>
      <w:r>
        <w:rPr>
          <w:szCs w:val="24"/>
        </w:rPr>
        <w:t xml:space="preserve">three </w:t>
      </w:r>
      <w:r w:rsidR="00F266D6">
        <w:rPr>
          <w:szCs w:val="24"/>
        </w:rPr>
        <w:t xml:space="preserve">Virginia </w:t>
      </w:r>
      <w:r>
        <w:rPr>
          <w:szCs w:val="24"/>
        </w:rPr>
        <w:t xml:space="preserve">Democratic </w:t>
      </w:r>
      <w:r w:rsidR="00F266D6">
        <w:rPr>
          <w:szCs w:val="24"/>
        </w:rPr>
        <w:t xml:space="preserve">congressmen up for </w:t>
      </w:r>
      <w:r>
        <w:rPr>
          <w:szCs w:val="24"/>
        </w:rPr>
        <w:t>re-</w:t>
      </w:r>
      <w:r w:rsidR="00F266D6">
        <w:rPr>
          <w:szCs w:val="24"/>
        </w:rPr>
        <w:t xml:space="preserve">election, </w:t>
      </w:r>
      <w:r w:rsidR="00F266D6">
        <w:rPr>
          <w:i/>
          <w:szCs w:val="24"/>
        </w:rPr>
        <w:t xml:space="preserve">see </w:t>
      </w:r>
      <w:r w:rsidR="00F266D6">
        <w:rPr>
          <w:szCs w:val="24"/>
        </w:rPr>
        <w:t>Ex. 2 at 11</w:t>
      </w:r>
      <w:r>
        <w:rPr>
          <w:szCs w:val="24"/>
        </w:rPr>
        <w:t>,</w:t>
      </w:r>
      <w:r w:rsidR="00D15FE2">
        <w:rPr>
          <w:szCs w:val="24"/>
        </w:rPr>
        <w:t xml:space="preserve"> </w:t>
      </w:r>
      <w:r>
        <w:rPr>
          <w:szCs w:val="24"/>
        </w:rPr>
        <w:t>15</w:t>
      </w:r>
      <w:r w:rsidR="00F266D6">
        <w:rPr>
          <w:szCs w:val="24"/>
        </w:rPr>
        <w:t xml:space="preserve"> (discussing “Back Pack” ad run against </w:t>
      </w:r>
      <w:r>
        <w:rPr>
          <w:szCs w:val="24"/>
        </w:rPr>
        <w:t xml:space="preserve">Reps. </w:t>
      </w:r>
      <w:r w:rsidR="00F266D6">
        <w:rPr>
          <w:szCs w:val="24"/>
        </w:rPr>
        <w:t>Gerry Connolly</w:t>
      </w:r>
      <w:r>
        <w:rPr>
          <w:szCs w:val="24"/>
        </w:rPr>
        <w:t xml:space="preserve"> </w:t>
      </w:r>
      <w:r w:rsidR="00F266D6">
        <w:rPr>
          <w:szCs w:val="24"/>
        </w:rPr>
        <w:t>and Tom Perriello</w:t>
      </w:r>
      <w:r>
        <w:rPr>
          <w:szCs w:val="24"/>
        </w:rPr>
        <w:t xml:space="preserve"> and “Read This (Boucher)” ad run against Rep. Rick Boucher</w:t>
      </w:r>
      <w:r w:rsidR="00F266D6">
        <w:rPr>
          <w:szCs w:val="24"/>
        </w:rPr>
        <w:t>), the</w:t>
      </w:r>
      <w:r w:rsidR="000151B1">
        <w:rPr>
          <w:szCs w:val="24"/>
        </w:rPr>
        <w:t xml:space="preserve"> record shows no</w:t>
      </w:r>
      <w:r w:rsidR="00F266D6">
        <w:rPr>
          <w:szCs w:val="24"/>
        </w:rPr>
        <w:t xml:space="preserve"> </w:t>
      </w:r>
      <w:r w:rsidR="00692ADA">
        <w:rPr>
          <w:szCs w:val="24"/>
        </w:rPr>
        <w:t xml:space="preserve">AAN </w:t>
      </w:r>
      <w:r w:rsidR="00F266D6">
        <w:rPr>
          <w:szCs w:val="24"/>
        </w:rPr>
        <w:t xml:space="preserve">ad asking Virginians to contact their Senators, </w:t>
      </w:r>
      <w:r w:rsidR="00C50F22">
        <w:rPr>
          <w:szCs w:val="24"/>
        </w:rPr>
        <w:t>neither of whom</w:t>
      </w:r>
      <w:r w:rsidR="00F266D6">
        <w:rPr>
          <w:szCs w:val="24"/>
        </w:rPr>
        <w:t xml:space="preserve"> were up for election that year but who would nevertheless be voting on any le</w:t>
      </w:r>
      <w:r w:rsidR="00C50F22">
        <w:rPr>
          <w:szCs w:val="24"/>
        </w:rPr>
        <w:t>gislation arising in November.</w:t>
      </w:r>
      <w:r>
        <w:rPr>
          <w:szCs w:val="24"/>
        </w:rPr>
        <w:t xml:space="preserve">  </w:t>
      </w:r>
      <w:r w:rsidR="00C50F22">
        <w:rPr>
          <w:szCs w:val="24"/>
        </w:rPr>
        <w:t>Nor d</w:t>
      </w:r>
      <w:r w:rsidR="000151B1">
        <w:rPr>
          <w:szCs w:val="24"/>
        </w:rPr>
        <w:t>oes the record show AAN</w:t>
      </w:r>
      <w:r w:rsidR="00C50F22">
        <w:rPr>
          <w:szCs w:val="24"/>
        </w:rPr>
        <w:t xml:space="preserve"> ask</w:t>
      </w:r>
      <w:r w:rsidR="000151B1">
        <w:rPr>
          <w:szCs w:val="24"/>
        </w:rPr>
        <w:t>ed</w:t>
      </w:r>
      <w:r w:rsidR="00C50F22">
        <w:rPr>
          <w:szCs w:val="24"/>
        </w:rPr>
        <w:t xml:space="preserve"> Virginians to contact </w:t>
      </w:r>
      <w:r>
        <w:rPr>
          <w:szCs w:val="24"/>
        </w:rPr>
        <w:t xml:space="preserve">any of </w:t>
      </w:r>
      <w:r w:rsidR="00D15FE2">
        <w:rPr>
          <w:szCs w:val="24"/>
        </w:rPr>
        <w:t xml:space="preserve">the state’s </w:t>
      </w:r>
      <w:r w:rsidR="00C50F22">
        <w:rPr>
          <w:szCs w:val="24"/>
        </w:rPr>
        <w:t xml:space="preserve">other </w:t>
      </w:r>
      <w:r>
        <w:rPr>
          <w:szCs w:val="24"/>
        </w:rPr>
        <w:t>House members</w:t>
      </w:r>
      <w:r w:rsidR="00C50F22">
        <w:rPr>
          <w:szCs w:val="24"/>
        </w:rPr>
        <w:t xml:space="preserve">, </w:t>
      </w:r>
      <w:r>
        <w:rPr>
          <w:szCs w:val="24"/>
        </w:rPr>
        <w:t xml:space="preserve">all of whom would be voting in the lame duck session, </w:t>
      </w:r>
      <w:r w:rsidR="00C50F22">
        <w:rPr>
          <w:szCs w:val="24"/>
        </w:rPr>
        <w:t xml:space="preserve">including </w:t>
      </w:r>
      <w:r>
        <w:rPr>
          <w:szCs w:val="24"/>
        </w:rPr>
        <w:t xml:space="preserve">Republican Reps. </w:t>
      </w:r>
      <w:r w:rsidR="00C50F22">
        <w:rPr>
          <w:szCs w:val="24"/>
        </w:rPr>
        <w:t xml:space="preserve">Rob Wittman, </w:t>
      </w:r>
      <w:r>
        <w:rPr>
          <w:szCs w:val="24"/>
        </w:rPr>
        <w:t xml:space="preserve">Randy Forbes, Bob </w:t>
      </w:r>
      <w:proofErr w:type="spellStart"/>
      <w:r>
        <w:rPr>
          <w:szCs w:val="24"/>
        </w:rPr>
        <w:t>Goodlatte</w:t>
      </w:r>
      <w:proofErr w:type="spellEnd"/>
      <w:r>
        <w:rPr>
          <w:szCs w:val="24"/>
        </w:rPr>
        <w:t xml:space="preserve">, Eric Cantor, and Frank Wolf, and Democratic Reps. </w:t>
      </w:r>
      <w:r w:rsidR="00C50F22">
        <w:rPr>
          <w:szCs w:val="24"/>
        </w:rPr>
        <w:t xml:space="preserve">Robert Scott </w:t>
      </w:r>
      <w:r>
        <w:rPr>
          <w:szCs w:val="24"/>
        </w:rPr>
        <w:t xml:space="preserve">and </w:t>
      </w:r>
      <w:r w:rsidR="009459DD">
        <w:rPr>
          <w:szCs w:val="24"/>
        </w:rPr>
        <w:t>Jim Moran</w:t>
      </w:r>
      <w:r w:rsidR="003F4FE8">
        <w:rPr>
          <w:szCs w:val="24"/>
        </w:rPr>
        <w:t>.  Notably, the two D</w:t>
      </w:r>
      <w:r w:rsidR="009459DD">
        <w:rPr>
          <w:szCs w:val="24"/>
        </w:rPr>
        <w:t>emocratic congressmen ignored by AAN handily won their reelections</w:t>
      </w:r>
      <w:r w:rsidR="008250E0">
        <w:rPr>
          <w:szCs w:val="24"/>
        </w:rPr>
        <w:t>,</w:t>
      </w:r>
      <w:r>
        <w:rPr>
          <w:szCs w:val="24"/>
        </w:rPr>
        <w:t xml:space="preserve"> while the three targeted by AAN were in close races.</w:t>
      </w:r>
      <w:r w:rsidR="008250E0">
        <w:rPr>
          <w:szCs w:val="24"/>
        </w:rPr>
        <w:t xml:space="preserve"> </w:t>
      </w:r>
      <w:r>
        <w:rPr>
          <w:szCs w:val="24"/>
        </w:rPr>
        <w:t xml:space="preserve"> </w:t>
      </w:r>
      <w:r>
        <w:rPr>
          <w:i/>
          <w:szCs w:val="24"/>
        </w:rPr>
        <w:t>S</w:t>
      </w:r>
      <w:r w:rsidR="008250E0">
        <w:rPr>
          <w:i/>
          <w:szCs w:val="24"/>
        </w:rPr>
        <w:t xml:space="preserve">ee </w:t>
      </w:r>
      <w:r w:rsidR="008250E0">
        <w:rPr>
          <w:szCs w:val="24"/>
        </w:rPr>
        <w:t xml:space="preserve">FEC, </w:t>
      </w:r>
      <w:r w:rsidR="008250E0" w:rsidRPr="00C8701A">
        <w:rPr>
          <w:szCs w:val="24"/>
          <w:u w:val="single"/>
        </w:rPr>
        <w:t xml:space="preserve">Official Election Results for the House of Representatives, 2010 U.S. House Campaigns </w:t>
      </w:r>
      <w:r w:rsidR="008250E0">
        <w:rPr>
          <w:szCs w:val="24"/>
        </w:rPr>
        <w:t>142</w:t>
      </w:r>
      <w:r w:rsidR="00E73965">
        <w:rPr>
          <w:szCs w:val="24"/>
        </w:rPr>
        <w:t>–</w:t>
      </w:r>
      <w:r w:rsidR="008250E0">
        <w:rPr>
          <w:szCs w:val="24"/>
        </w:rPr>
        <w:t xml:space="preserve">43, </w:t>
      </w:r>
      <w:r w:rsidR="008250E0">
        <w:rPr>
          <w:i/>
          <w:szCs w:val="24"/>
        </w:rPr>
        <w:t xml:space="preserve">available at </w:t>
      </w:r>
      <w:hyperlink r:id="rId12" w:history="1">
        <w:r w:rsidRPr="00797269">
          <w:rPr>
            <w:rStyle w:val="Hyperlink"/>
            <w:szCs w:val="24"/>
          </w:rPr>
          <w:t>http://www.fec.gov/pubrec/fe2010/2010house.pdf</w:t>
        </w:r>
      </w:hyperlink>
      <w:r w:rsidR="00D15FE2">
        <w:rPr>
          <w:szCs w:val="24"/>
        </w:rPr>
        <w:t xml:space="preserve">; </w:t>
      </w:r>
      <w:r w:rsidR="00D15FE2" w:rsidRPr="00C8701A">
        <w:rPr>
          <w:u w:val="single"/>
        </w:rPr>
        <w:t>Battle for the House</w:t>
      </w:r>
      <w:r w:rsidR="00D15FE2">
        <w:t xml:space="preserve">, Real Clear Politics, </w:t>
      </w:r>
      <w:r w:rsidR="00D15FE2">
        <w:rPr>
          <w:i/>
        </w:rPr>
        <w:t>available at</w:t>
      </w:r>
      <w:r w:rsidR="00D15FE2">
        <w:t xml:space="preserve"> </w:t>
      </w:r>
      <w:hyperlink r:id="rId13" w:history="1">
        <w:r w:rsidR="003C486D" w:rsidRPr="003C486D">
          <w:rPr>
            <w:rStyle w:val="Hyperlink"/>
          </w:rPr>
          <w:t>http://www.realclearpolitics.com/epolls/2010/house/</w:t>
        </w:r>
        <w:r w:rsidR="003C486D" w:rsidRPr="003C486D">
          <w:rPr>
            <w:rStyle w:val="Hyperlink"/>
          </w:rPr>
          <w:br/>
        </w:r>
        <w:r w:rsidR="003C486D" w:rsidRPr="002F0A8A">
          <w:rPr>
            <w:rStyle w:val="Hyperlink"/>
          </w:rPr>
          <w:t>2010_elections_house_map.html</w:t>
        </w:r>
      </w:hyperlink>
      <w:r w:rsidR="00D15FE2">
        <w:t>.</w:t>
      </w:r>
      <w:r>
        <w:rPr>
          <w:szCs w:val="24"/>
        </w:rPr>
        <w:t xml:space="preserve"> </w:t>
      </w:r>
      <w:r w:rsidR="00D15FE2">
        <w:rPr>
          <w:szCs w:val="24"/>
        </w:rPr>
        <w:t xml:space="preserve"> This contextual information i</w:t>
      </w:r>
      <w:r w:rsidR="009459DD">
        <w:rPr>
          <w:szCs w:val="24"/>
        </w:rPr>
        <w:t>ndicat</w:t>
      </w:r>
      <w:r w:rsidR="00D15FE2">
        <w:rPr>
          <w:szCs w:val="24"/>
        </w:rPr>
        <w:t>es</w:t>
      </w:r>
      <w:r w:rsidR="009459DD">
        <w:rPr>
          <w:szCs w:val="24"/>
        </w:rPr>
        <w:t xml:space="preserve"> AAN chose its targets not for their openness to persuasion but for their risk of </w:t>
      </w:r>
      <w:r w:rsidR="004F1BEB">
        <w:rPr>
          <w:szCs w:val="24"/>
        </w:rPr>
        <w:t xml:space="preserve">electoral </w:t>
      </w:r>
      <w:r w:rsidR="009459DD">
        <w:rPr>
          <w:szCs w:val="24"/>
        </w:rPr>
        <w:t>defeat</w:t>
      </w:r>
      <w:r w:rsidR="00D15FE2">
        <w:rPr>
          <w:szCs w:val="24"/>
        </w:rPr>
        <w:t>,</w:t>
      </w:r>
      <w:r w:rsidR="009459DD">
        <w:rPr>
          <w:szCs w:val="24"/>
        </w:rPr>
        <w:t xml:space="preserve"> </w:t>
      </w:r>
      <w:r w:rsidR="00D15FE2">
        <w:rPr>
          <w:szCs w:val="24"/>
        </w:rPr>
        <w:t>and</w:t>
      </w:r>
      <w:r w:rsidR="009459DD">
        <w:rPr>
          <w:szCs w:val="24"/>
        </w:rPr>
        <w:t xml:space="preserve"> </w:t>
      </w:r>
      <w:r w:rsidR="00D15FE2">
        <w:rPr>
          <w:szCs w:val="24"/>
        </w:rPr>
        <w:t>v</w:t>
      </w:r>
      <w:r>
        <w:rPr>
          <w:szCs w:val="24"/>
        </w:rPr>
        <w:t xml:space="preserve">iewers of AAN’s ads surely </w:t>
      </w:r>
      <w:r w:rsidR="00D15FE2">
        <w:rPr>
          <w:szCs w:val="24"/>
        </w:rPr>
        <w:t xml:space="preserve">would have </w:t>
      </w:r>
      <w:r>
        <w:rPr>
          <w:szCs w:val="24"/>
        </w:rPr>
        <w:t>notice</w:t>
      </w:r>
      <w:r w:rsidR="00D15FE2">
        <w:rPr>
          <w:szCs w:val="24"/>
        </w:rPr>
        <w:t>d</w:t>
      </w:r>
      <w:r>
        <w:rPr>
          <w:szCs w:val="24"/>
        </w:rPr>
        <w:t xml:space="preserve"> which of their representatives AAN chose to highlight.</w:t>
      </w:r>
      <w:r w:rsidR="00D15FE2">
        <w:rPr>
          <w:rStyle w:val="FootnoteReference"/>
          <w:szCs w:val="24"/>
        </w:rPr>
        <w:footnoteReference w:id="7"/>
      </w:r>
    </w:p>
    <w:p w14:paraId="31215C78" w14:textId="6D731B8B" w:rsidR="003A5208" w:rsidRDefault="00DD16E1" w:rsidP="000E4317">
      <w:pPr>
        <w:spacing w:line="480" w:lineRule="auto"/>
        <w:ind w:firstLine="720"/>
      </w:pPr>
      <w:r>
        <w:rPr>
          <w:szCs w:val="24"/>
        </w:rPr>
        <w:t xml:space="preserve">Indeed, AAN chose to communicate its “issues” solely to voters in battleground races.  Its </w:t>
      </w:r>
      <w:r w:rsidR="00582317">
        <w:rPr>
          <w:szCs w:val="24"/>
        </w:rPr>
        <w:t xml:space="preserve">three </w:t>
      </w:r>
      <w:r>
        <w:rPr>
          <w:szCs w:val="24"/>
        </w:rPr>
        <w:t xml:space="preserve">electioneering communications referencing Senate candidates ran in a toss-up state (Washington) and </w:t>
      </w:r>
      <w:r w:rsidR="00773722">
        <w:rPr>
          <w:szCs w:val="24"/>
        </w:rPr>
        <w:t xml:space="preserve">two </w:t>
      </w:r>
      <w:r>
        <w:rPr>
          <w:szCs w:val="24"/>
        </w:rPr>
        <w:t>state</w:t>
      </w:r>
      <w:r w:rsidR="00773722">
        <w:rPr>
          <w:szCs w:val="24"/>
        </w:rPr>
        <w:t>s</w:t>
      </w:r>
      <w:r>
        <w:rPr>
          <w:szCs w:val="24"/>
        </w:rPr>
        <w:t xml:space="preserve"> th</w:t>
      </w:r>
      <w:r w:rsidR="004F1BEB">
        <w:rPr>
          <w:szCs w:val="24"/>
        </w:rPr>
        <w:t>at</w:t>
      </w:r>
      <w:r>
        <w:rPr>
          <w:szCs w:val="24"/>
        </w:rPr>
        <w:t xml:space="preserve"> </w:t>
      </w:r>
      <w:r w:rsidR="00773722">
        <w:rPr>
          <w:szCs w:val="24"/>
        </w:rPr>
        <w:t xml:space="preserve">either </w:t>
      </w:r>
      <w:r>
        <w:rPr>
          <w:szCs w:val="24"/>
        </w:rPr>
        <w:t xml:space="preserve">initially </w:t>
      </w:r>
      <w:r w:rsidR="00773722">
        <w:rPr>
          <w:szCs w:val="24"/>
        </w:rPr>
        <w:t xml:space="preserve">or in the end </w:t>
      </w:r>
      <w:r w:rsidR="00931537">
        <w:rPr>
          <w:szCs w:val="24"/>
        </w:rPr>
        <w:t xml:space="preserve">only </w:t>
      </w:r>
      <w:r>
        <w:rPr>
          <w:szCs w:val="24"/>
        </w:rPr>
        <w:t>leaned Republican (</w:t>
      </w:r>
      <w:r w:rsidR="00773722">
        <w:rPr>
          <w:szCs w:val="24"/>
        </w:rPr>
        <w:t xml:space="preserve">Wisconsin, </w:t>
      </w:r>
      <w:r>
        <w:rPr>
          <w:szCs w:val="24"/>
        </w:rPr>
        <w:t xml:space="preserve">New Hampshire).  </w:t>
      </w:r>
      <w:r>
        <w:rPr>
          <w:i/>
          <w:szCs w:val="24"/>
        </w:rPr>
        <w:t>See</w:t>
      </w:r>
      <w:r>
        <w:t xml:space="preserve"> </w:t>
      </w:r>
      <w:r w:rsidRPr="00C8701A">
        <w:rPr>
          <w:u w:val="single"/>
        </w:rPr>
        <w:t>Election 2010:  Senate Balance of Power</w:t>
      </w:r>
      <w:r>
        <w:t xml:space="preserve">, Rasmussen </w:t>
      </w:r>
      <w:r w:rsidR="00C8701A">
        <w:t xml:space="preserve">Reports </w:t>
      </w:r>
      <w:r>
        <w:t xml:space="preserve">(Nov. 1, 2010), </w:t>
      </w:r>
      <w:r>
        <w:rPr>
          <w:i/>
        </w:rPr>
        <w:t>available at</w:t>
      </w:r>
      <w:r>
        <w:t xml:space="preserve"> </w:t>
      </w:r>
      <w:hyperlink r:id="rId14" w:history="1">
        <w:r w:rsidR="003C486D" w:rsidRPr="003C486D">
          <w:rPr>
            <w:rStyle w:val="Hyperlink"/>
          </w:rPr>
          <w:t>http://www.rasmussenreports.com/public_content/</w:t>
        </w:r>
        <w:r w:rsidR="003C486D" w:rsidRPr="003C486D">
          <w:rPr>
            <w:rStyle w:val="Hyperlink"/>
          </w:rPr>
          <w:br/>
        </w:r>
        <w:r w:rsidR="003C486D" w:rsidRPr="002F0A8A">
          <w:rPr>
            <w:rStyle w:val="Hyperlink"/>
          </w:rPr>
          <w:t>politics/elections/election_2010/election_2010_senate_elections/election_2010_senate_balance_of_power</w:t>
        </w:r>
      </w:hyperlink>
      <w:r>
        <w:t xml:space="preserve">.  </w:t>
      </w:r>
      <w:r w:rsidR="00773722">
        <w:t>T</w:t>
      </w:r>
      <w:r w:rsidR="00C815B8">
        <w:t xml:space="preserve">he ads referencing </w:t>
      </w:r>
      <w:r w:rsidR="00773722">
        <w:t xml:space="preserve">House </w:t>
      </w:r>
      <w:r w:rsidR="00C815B8">
        <w:t xml:space="preserve">candidates </w:t>
      </w:r>
      <w:r w:rsidR="00773722">
        <w:t xml:space="preserve">similarly </w:t>
      </w:r>
      <w:r>
        <w:t xml:space="preserve">were communicated only to voters in </w:t>
      </w:r>
      <w:r w:rsidR="00773722">
        <w:t xml:space="preserve">tightly contested </w:t>
      </w:r>
      <w:r>
        <w:t xml:space="preserve">districts.  </w:t>
      </w:r>
      <w:r>
        <w:rPr>
          <w:i/>
        </w:rPr>
        <w:t>See</w:t>
      </w:r>
      <w:r>
        <w:t xml:space="preserve"> </w:t>
      </w:r>
      <w:r w:rsidRPr="00C8701A">
        <w:rPr>
          <w:u w:val="single"/>
        </w:rPr>
        <w:t>Battle for the House</w:t>
      </w:r>
      <w:r>
        <w:t xml:space="preserve">, </w:t>
      </w:r>
      <w:r w:rsidR="00C8701A">
        <w:t xml:space="preserve">Real Clear Politics, </w:t>
      </w:r>
      <w:r w:rsidR="00AA37BA">
        <w:rPr>
          <w:i/>
        </w:rPr>
        <w:t>available at</w:t>
      </w:r>
      <w:r w:rsidR="00AA37BA">
        <w:t xml:space="preserve"> </w:t>
      </w:r>
      <w:hyperlink r:id="rId15" w:history="1">
        <w:r w:rsidR="00704D74" w:rsidRPr="00797269">
          <w:rPr>
            <w:rStyle w:val="Hyperlink"/>
          </w:rPr>
          <w:t>http://www.realclearpolitics.com/epolls/2010/house/2010_elections_house_map.html</w:t>
        </w:r>
      </w:hyperlink>
      <w:r w:rsidR="00704D74">
        <w:t xml:space="preserve"> </w:t>
      </w:r>
      <w:r w:rsidR="00AA37BA">
        <w:t xml:space="preserve">(listing as </w:t>
      </w:r>
      <w:r w:rsidR="004F1BEB">
        <w:t>“Toss U</w:t>
      </w:r>
      <w:r w:rsidR="00AA37BA">
        <w:t>p</w:t>
      </w:r>
      <w:r w:rsidR="004F1BEB">
        <w:t>”</w:t>
      </w:r>
      <w:r w:rsidR="00AA37BA">
        <w:t xml:space="preserve"> or </w:t>
      </w:r>
      <w:r w:rsidR="004F1BEB">
        <w:t>“L</w:t>
      </w:r>
      <w:r w:rsidR="00AA37BA">
        <w:t>ean</w:t>
      </w:r>
      <w:r w:rsidR="004F1BEB">
        <w:t>s”</w:t>
      </w:r>
      <w:r w:rsidR="00773722">
        <w:t xml:space="preserve"> Republican or Democratic</w:t>
      </w:r>
      <w:r w:rsidR="00AA37BA">
        <w:t xml:space="preserve"> races for PA</w:t>
      </w:r>
      <w:r w:rsidR="00773722">
        <w:t>-</w:t>
      </w:r>
      <w:r w:rsidR="00AA37BA">
        <w:t>12 (</w:t>
      </w:r>
      <w:proofErr w:type="spellStart"/>
      <w:r w:rsidR="00AA37BA">
        <w:t>Critz</w:t>
      </w:r>
      <w:proofErr w:type="spellEnd"/>
      <w:r w:rsidR="00AA37BA">
        <w:t>), OH</w:t>
      </w:r>
      <w:r w:rsidR="00773722">
        <w:t>-</w:t>
      </w:r>
      <w:r w:rsidR="00AA37BA">
        <w:t>6 (Wilson), OR</w:t>
      </w:r>
      <w:r w:rsidR="00773722">
        <w:t>-</w:t>
      </w:r>
      <w:r w:rsidR="00AA37BA">
        <w:t>5 (Schrader), WI</w:t>
      </w:r>
      <w:r w:rsidR="00773722">
        <w:t>-</w:t>
      </w:r>
      <w:r w:rsidR="00AA37BA">
        <w:t>8 (</w:t>
      </w:r>
      <w:proofErr w:type="spellStart"/>
      <w:r w:rsidR="00AA37BA">
        <w:t>Kagen</w:t>
      </w:r>
      <w:proofErr w:type="spellEnd"/>
      <w:r w:rsidR="00AA37BA">
        <w:t>), IN</w:t>
      </w:r>
      <w:r w:rsidR="00773722">
        <w:t>-</w:t>
      </w:r>
      <w:r w:rsidR="00AA37BA">
        <w:t>2 (Donnelly), CO</w:t>
      </w:r>
      <w:r w:rsidR="00773722">
        <w:t>-</w:t>
      </w:r>
      <w:r w:rsidR="00AA37BA">
        <w:t>7 (</w:t>
      </w:r>
      <w:proofErr w:type="spellStart"/>
      <w:r w:rsidR="00AA37BA">
        <w:t>Perlmutter</w:t>
      </w:r>
      <w:proofErr w:type="spellEnd"/>
      <w:r w:rsidR="00AA37BA">
        <w:t>)</w:t>
      </w:r>
      <w:r w:rsidR="00476C4A">
        <w:t>, NM</w:t>
      </w:r>
      <w:r w:rsidR="00773722">
        <w:t>-</w:t>
      </w:r>
      <w:r w:rsidR="00476C4A">
        <w:t>1 (Heinrich), VA</w:t>
      </w:r>
      <w:r w:rsidR="00773722">
        <w:t>-</w:t>
      </w:r>
      <w:r w:rsidR="00476C4A">
        <w:t>11 (Connoll</w:t>
      </w:r>
      <w:r w:rsidR="00AA37BA">
        <w:t>y), VA</w:t>
      </w:r>
      <w:r w:rsidR="00773722">
        <w:t>-</w:t>
      </w:r>
      <w:r w:rsidR="00AA37BA">
        <w:t>5 (Perriello), SD</w:t>
      </w:r>
      <w:r w:rsidR="00773722">
        <w:t>-AL</w:t>
      </w:r>
      <w:r w:rsidR="00AA37BA">
        <w:t xml:space="preserve"> (</w:t>
      </w:r>
      <w:proofErr w:type="spellStart"/>
      <w:r w:rsidR="00D23990">
        <w:t>Herseth</w:t>
      </w:r>
      <w:proofErr w:type="spellEnd"/>
      <w:r w:rsidR="00D23990">
        <w:t xml:space="preserve"> </w:t>
      </w:r>
      <w:r w:rsidR="00AA37BA">
        <w:t>Sandlin), CT</w:t>
      </w:r>
      <w:r w:rsidR="00773722">
        <w:t>-</w:t>
      </w:r>
      <w:r w:rsidR="00AA37BA">
        <w:t>5 (Murphy), CT</w:t>
      </w:r>
      <w:r w:rsidR="00773722">
        <w:t>-</w:t>
      </w:r>
      <w:r w:rsidR="00AA37BA">
        <w:t>4 (Himes), MI</w:t>
      </w:r>
      <w:r w:rsidR="00773722">
        <w:t>-</w:t>
      </w:r>
      <w:r w:rsidR="00AA37BA">
        <w:t>7 (</w:t>
      </w:r>
      <w:proofErr w:type="spellStart"/>
      <w:r w:rsidR="00AA37BA">
        <w:t>Schauer</w:t>
      </w:r>
      <w:proofErr w:type="spellEnd"/>
      <w:r w:rsidR="00AA37BA">
        <w:t>), NV</w:t>
      </w:r>
      <w:r w:rsidR="00773722">
        <w:t>-</w:t>
      </w:r>
      <w:r w:rsidR="00AA37BA">
        <w:t>3 (Titus), VA</w:t>
      </w:r>
      <w:r w:rsidR="00773722">
        <w:t>-</w:t>
      </w:r>
      <w:r w:rsidR="00AA37BA">
        <w:t>9 (Boucher)</w:t>
      </w:r>
      <w:r w:rsidR="000150F4">
        <w:t>, WV</w:t>
      </w:r>
      <w:r w:rsidR="00773722">
        <w:t>-</w:t>
      </w:r>
      <w:r w:rsidR="000150F4">
        <w:t>1 (</w:t>
      </w:r>
      <w:proofErr w:type="spellStart"/>
      <w:r w:rsidR="000150F4">
        <w:t>Oliverio</w:t>
      </w:r>
      <w:proofErr w:type="spellEnd"/>
      <w:r w:rsidR="000150F4">
        <w:t>), NH</w:t>
      </w:r>
      <w:r w:rsidR="00773722">
        <w:t>-</w:t>
      </w:r>
      <w:r w:rsidR="000150F4">
        <w:t>2 (</w:t>
      </w:r>
      <w:proofErr w:type="spellStart"/>
      <w:r w:rsidR="000150F4">
        <w:t>Kuster</w:t>
      </w:r>
      <w:proofErr w:type="spellEnd"/>
      <w:r w:rsidR="000150F4">
        <w:t>)</w:t>
      </w:r>
      <w:r w:rsidR="00773722">
        <w:t xml:space="preserve">, </w:t>
      </w:r>
      <w:r w:rsidR="00AA37BA">
        <w:t xml:space="preserve">and </w:t>
      </w:r>
      <w:r w:rsidR="00A4340E">
        <w:t>MN</w:t>
      </w:r>
      <w:r w:rsidR="00773722">
        <w:t>-</w:t>
      </w:r>
      <w:r w:rsidR="00A4340E">
        <w:t>1 (</w:t>
      </w:r>
      <w:proofErr w:type="spellStart"/>
      <w:r w:rsidR="00A4340E">
        <w:t>Walz</w:t>
      </w:r>
      <w:proofErr w:type="spellEnd"/>
      <w:r w:rsidR="00A4340E">
        <w:t>)</w:t>
      </w:r>
      <w:r w:rsidR="00AA37BA">
        <w:t>).</w:t>
      </w:r>
      <w:r w:rsidR="000F443A">
        <w:t xml:space="preserve">  </w:t>
      </w:r>
      <w:r w:rsidR="005606F8">
        <w:t xml:space="preserve">Nor does the record show any ad by AAN advocating its preferred policy positions </w:t>
      </w:r>
      <w:r w:rsidR="005606F8">
        <w:rPr>
          <w:i/>
        </w:rPr>
        <w:t>after</w:t>
      </w:r>
      <w:r w:rsidR="005606F8">
        <w:t xml:space="preserve"> the election and during the lame</w:t>
      </w:r>
      <w:r w:rsidR="00773722">
        <w:t xml:space="preserve"> </w:t>
      </w:r>
      <w:r w:rsidR="005606F8">
        <w:t>duck</w:t>
      </w:r>
      <w:r w:rsidR="00773722">
        <w:t xml:space="preserve"> session</w:t>
      </w:r>
      <w:r w:rsidR="005606F8">
        <w:t xml:space="preserve">, even though a voter’s call would </w:t>
      </w:r>
      <w:r w:rsidR="003338A0">
        <w:t>have been</w:t>
      </w:r>
      <w:r w:rsidR="005606F8">
        <w:t xml:space="preserve"> particularly timely then. </w:t>
      </w:r>
      <w:r w:rsidR="00A4340E">
        <w:t xml:space="preserve"> </w:t>
      </w:r>
      <w:r w:rsidR="00B17A94">
        <w:t xml:space="preserve">AAN’s selective targeting is simply incompatible with the conclusion that </w:t>
      </w:r>
      <w:r w:rsidR="00692ADA">
        <w:t>the ads</w:t>
      </w:r>
      <w:r w:rsidR="00C426DF">
        <w:t>’</w:t>
      </w:r>
      <w:r w:rsidR="00692ADA">
        <w:t xml:space="preserve"> purpose</w:t>
      </w:r>
      <w:r w:rsidR="00931537">
        <w:t>s</w:t>
      </w:r>
      <w:r w:rsidR="00692ADA">
        <w:t xml:space="preserve"> </w:t>
      </w:r>
      <w:r w:rsidR="00931537">
        <w:t xml:space="preserve">were </w:t>
      </w:r>
      <w:r w:rsidR="00692ADA">
        <w:t>solely</w:t>
      </w:r>
      <w:r w:rsidR="00B17A94">
        <w:t xml:space="preserve"> to inform citizens or ask voters to lobby their representatives. </w:t>
      </w:r>
    </w:p>
    <w:p w14:paraId="7344FE94" w14:textId="73F4A259" w:rsidR="00410461" w:rsidRPr="000C092B" w:rsidRDefault="00410461" w:rsidP="000E4317">
      <w:pPr>
        <w:spacing w:line="480" w:lineRule="auto"/>
        <w:ind w:firstLine="720"/>
      </w:pPr>
      <w:r>
        <w:t>Third, the controlling commissioners</w:t>
      </w:r>
      <w:r w:rsidR="000F443A">
        <w:t>’</w:t>
      </w:r>
      <w:r>
        <w:t xml:space="preserve"> conclusion that the ads may reasonably be interpreted as focused on the lame duck legislative agenda and not the impending election is arbitrary, capricious, and an abuse of discretion.</w:t>
      </w:r>
      <w:r w:rsidR="00B67EF4">
        <w:t xml:space="preserve">  They weakly attempt to explain away the fact that the ads do not mention the lame duck </w:t>
      </w:r>
      <w:r w:rsidR="000F443A">
        <w:t xml:space="preserve">session </w:t>
      </w:r>
      <w:r w:rsidR="00B67EF4">
        <w:t xml:space="preserve">but rather continually point to “November,” when the election </w:t>
      </w:r>
      <w:r w:rsidR="000F443A">
        <w:t xml:space="preserve">would </w:t>
      </w:r>
      <w:r w:rsidR="00B67EF4">
        <w:t>occur</w:t>
      </w:r>
      <w:r w:rsidR="003338A0">
        <w:t xml:space="preserve"> as the ads’ viewers would be well aware</w:t>
      </w:r>
      <w:r w:rsidR="00B67EF4">
        <w:t>, as the time for action</w:t>
      </w:r>
      <w:r w:rsidR="00C55EDD">
        <w:t>.  Yet they ignore the fact that there is no reference to any other time period that would seem relevant if the focus was on pending legislation</w:t>
      </w:r>
      <w:r w:rsidR="00FF3ED1">
        <w:t xml:space="preserve">. </w:t>
      </w:r>
      <w:r w:rsidR="00C55EDD">
        <w:t xml:space="preserve"> T</w:t>
      </w:r>
      <w:r w:rsidR="00B67EF4">
        <w:t xml:space="preserve">he clear implication of </w:t>
      </w:r>
      <w:r w:rsidR="000F443A">
        <w:t xml:space="preserve">that emphasis </w:t>
      </w:r>
      <w:r w:rsidR="00B67EF4">
        <w:t xml:space="preserve">is that voters should </w:t>
      </w:r>
      <w:r w:rsidR="000F443A">
        <w:t xml:space="preserve">send </w:t>
      </w:r>
      <w:r w:rsidR="00B67EF4">
        <w:t>the</w:t>
      </w:r>
      <w:r w:rsidR="000F443A">
        <w:t xml:space="preserve">ir </w:t>
      </w:r>
      <w:r w:rsidR="00B67EF4">
        <w:t xml:space="preserve">message at the ballot box. </w:t>
      </w:r>
      <w:r w:rsidR="001D466F">
        <w:t xml:space="preserve"> </w:t>
      </w:r>
      <w:r w:rsidR="000F443A">
        <w:t xml:space="preserve">Moreover, the </w:t>
      </w:r>
      <w:r w:rsidR="00450081">
        <w:t>available evidence</w:t>
      </w:r>
      <w:r w:rsidR="000F443A">
        <w:t xml:space="preserve"> demonstrates </w:t>
      </w:r>
      <w:r w:rsidR="00450081">
        <w:t>that cont</w:t>
      </w:r>
      <w:r w:rsidR="00457D86">
        <w:t>emporaneous viewers understood “t</w:t>
      </w:r>
      <w:r w:rsidR="00450081">
        <w:t>he</w:t>
      </w:r>
      <w:r w:rsidR="00457D86">
        <w:t xml:space="preserve"> message[s] being conveyed”</w:t>
      </w:r>
      <w:r w:rsidR="00450081">
        <w:t xml:space="preserve"> </w:t>
      </w:r>
      <w:r w:rsidR="00457D86">
        <w:t>were campaign focused.  Ex. 2 at 6</w:t>
      </w:r>
      <w:r w:rsidR="00F31A8A">
        <w:t xml:space="preserve">.  The controlling commissions failed to cite even a single news report from the period when the ads ran that discussed them in the context of the lame duck session, and Plaintiffs could not locate </w:t>
      </w:r>
      <w:r w:rsidR="00C426DF">
        <w:t>any</w:t>
      </w:r>
      <w:r w:rsidR="00F31A8A">
        <w:t xml:space="preserve">, either.  To the contrary, nearly every news report that mentioned the ads discussed them in the context of the upcoming election, with several describing them as “campaign” or “political” ads.  </w:t>
      </w:r>
      <w:r w:rsidR="00F31A8A">
        <w:rPr>
          <w:i/>
        </w:rPr>
        <w:t>S</w:t>
      </w:r>
      <w:r w:rsidR="00450081">
        <w:rPr>
          <w:i/>
        </w:rPr>
        <w:t>ee, e.g.</w:t>
      </w:r>
      <w:r w:rsidR="00450081">
        <w:t xml:space="preserve">, Lynn Bartels, </w:t>
      </w:r>
      <w:r w:rsidR="00450081">
        <w:rPr>
          <w:u w:val="single"/>
        </w:rPr>
        <w:t>9News removes anti-</w:t>
      </w:r>
      <w:proofErr w:type="spellStart"/>
      <w:r w:rsidR="00450081">
        <w:rPr>
          <w:u w:val="single"/>
        </w:rPr>
        <w:t>Perlmutter</w:t>
      </w:r>
      <w:proofErr w:type="spellEnd"/>
      <w:r w:rsidR="00450081">
        <w:rPr>
          <w:u w:val="single"/>
        </w:rPr>
        <w:t xml:space="preserve"> ad deemed a “who</w:t>
      </w:r>
      <w:r w:rsidR="00F31A8A">
        <w:rPr>
          <w:u w:val="single"/>
        </w:rPr>
        <w:t>p</w:t>
      </w:r>
      <w:r w:rsidR="00450081">
        <w:rPr>
          <w:u w:val="single"/>
        </w:rPr>
        <w:t>per”</w:t>
      </w:r>
      <w:r w:rsidR="00450081">
        <w:t xml:space="preserve">, Denver Post (Oct. 26, 2010), </w:t>
      </w:r>
      <w:r w:rsidR="00450081">
        <w:rPr>
          <w:i/>
        </w:rPr>
        <w:t>available at</w:t>
      </w:r>
      <w:r w:rsidR="00450081">
        <w:t xml:space="preserve"> </w:t>
      </w:r>
      <w:hyperlink r:id="rId16" w:history="1">
        <w:r w:rsidR="00F31A8A" w:rsidRPr="00AC6ED8">
          <w:rPr>
            <w:rStyle w:val="Hyperlink"/>
          </w:rPr>
          <w:t>http://www.denverpost.com/2010/10/26/9news-removes-anti-perlmutter-ad-deemed-a-whopper/</w:t>
        </w:r>
      </w:hyperlink>
      <w:r w:rsidR="00F31A8A">
        <w:t xml:space="preserve"> </w:t>
      </w:r>
      <w:r w:rsidR="00450081">
        <w:t xml:space="preserve">(describing AAN’s “Skype” “campaign ad”); Daniela </w:t>
      </w:r>
      <w:proofErr w:type="spellStart"/>
      <w:r w:rsidR="00450081">
        <w:t>Altimari</w:t>
      </w:r>
      <w:proofErr w:type="spellEnd"/>
      <w:r w:rsidR="00450081">
        <w:t xml:space="preserve">, </w:t>
      </w:r>
      <w:r w:rsidR="00450081">
        <w:rPr>
          <w:u w:val="single"/>
        </w:rPr>
        <w:t>Television Pulls Ad Against Murphy, Citing Unsubstantiated Claims</w:t>
      </w:r>
      <w:r w:rsidR="00450081">
        <w:t>, Hartford Courant (Oct. 26, 2010)</w:t>
      </w:r>
      <w:r w:rsidR="00F31A8A">
        <w:t xml:space="preserve">, </w:t>
      </w:r>
      <w:r w:rsidR="00F31A8A" w:rsidRPr="00794BA5">
        <w:rPr>
          <w:i/>
        </w:rPr>
        <w:t>available at</w:t>
      </w:r>
      <w:r w:rsidR="00F31A8A">
        <w:t xml:space="preserve"> </w:t>
      </w:r>
      <w:hyperlink r:id="rId17" w:history="1">
        <w:r w:rsidR="00F31A8A" w:rsidRPr="00AC6ED8">
          <w:rPr>
            <w:rStyle w:val="Hyperlink"/>
          </w:rPr>
          <w:t>http://articles.courant.com/2010-10-26/news/hc-viagra-ad-pulled-1027-20101026_1_political-ads-review-commercials-murphy</w:t>
        </w:r>
      </w:hyperlink>
      <w:r w:rsidR="00450081">
        <w:t xml:space="preserve"> (discussing AAN’s “Mess” “political ad”); Jake Gibson, </w:t>
      </w:r>
      <w:r w:rsidR="00450081">
        <w:rPr>
          <w:u w:val="single"/>
        </w:rPr>
        <w:t>Connolly, Like Many House Dems in Swing Districts, Faces tough Re-election campaign</w:t>
      </w:r>
      <w:r w:rsidR="00450081">
        <w:t xml:space="preserve">, Fox News (Oct. 25, 2010), </w:t>
      </w:r>
      <w:r w:rsidR="00450081">
        <w:rPr>
          <w:i/>
        </w:rPr>
        <w:t xml:space="preserve">available </w:t>
      </w:r>
      <w:r w:rsidR="00450081" w:rsidRPr="00450081">
        <w:rPr>
          <w:i/>
        </w:rPr>
        <w:t>at</w:t>
      </w:r>
      <w:r>
        <w:t xml:space="preserve"> </w:t>
      </w:r>
      <w:hyperlink r:id="rId18" w:history="1">
        <w:r w:rsidR="00F31A8A" w:rsidRPr="00AC6ED8">
          <w:rPr>
            <w:rStyle w:val="Hyperlink"/>
          </w:rPr>
          <w:t>http://www.foxnews.com/politics/2010/10/25/connolly-like-many-house-dems-in-swing-districts-faces-tough-re-election.html</w:t>
        </w:r>
      </w:hyperlink>
      <w:r w:rsidR="00F31A8A">
        <w:t xml:space="preserve"> </w:t>
      </w:r>
      <w:r w:rsidR="00450081">
        <w:t>(stating AAN spent $900,000 to “run [the ‘Back Pack’ ad] against Connolly” in election</w:t>
      </w:r>
      <w:r w:rsidR="000C092B">
        <w:t xml:space="preserve">).  </w:t>
      </w:r>
      <w:r w:rsidR="00F31A8A">
        <w:t xml:space="preserve">Indeed, the ads were </w:t>
      </w:r>
      <w:r w:rsidR="000C092B">
        <w:t xml:space="preserve">understood </w:t>
      </w:r>
      <w:r w:rsidR="00F31A8A">
        <w:t xml:space="preserve">as electoral despite </w:t>
      </w:r>
      <w:r w:rsidR="000C092B">
        <w:t xml:space="preserve">AAN’s </w:t>
      </w:r>
      <w:r w:rsidR="00F31A8A">
        <w:t xml:space="preserve">transparent </w:t>
      </w:r>
      <w:r w:rsidR="000C092B">
        <w:t xml:space="preserve">attempts to cast the ads as focused on the lame duck session.  </w:t>
      </w:r>
      <w:r w:rsidR="00F31A8A" w:rsidRPr="00794BA5">
        <w:rPr>
          <w:i/>
        </w:rPr>
        <w:t>See, e.g.</w:t>
      </w:r>
      <w:r w:rsidR="00F31A8A">
        <w:t xml:space="preserve">, </w:t>
      </w:r>
      <w:r w:rsidR="000C092B">
        <w:t xml:space="preserve">AAN, </w:t>
      </w:r>
      <w:r w:rsidR="000C092B">
        <w:rPr>
          <w:u w:val="single"/>
        </w:rPr>
        <w:t>AAN Statement of Issue Advocacy Campaign in Congressional Districts Nationwide</w:t>
      </w:r>
      <w:r w:rsidR="000C092B">
        <w:t xml:space="preserve"> (Oct. 18, 2010), </w:t>
      </w:r>
      <w:r w:rsidR="000C092B">
        <w:rPr>
          <w:i/>
        </w:rPr>
        <w:t>available at</w:t>
      </w:r>
      <w:r w:rsidR="000C092B">
        <w:t xml:space="preserve"> </w:t>
      </w:r>
      <w:hyperlink r:id="rId19" w:history="1">
        <w:r w:rsidR="003C486D" w:rsidRPr="003C486D">
          <w:rPr>
            <w:rStyle w:val="Hyperlink"/>
          </w:rPr>
          <w:t>https://web.archive.org/web/20101025085516/http:/americanactionnetwork.org/</w:t>
        </w:r>
        <w:r w:rsidR="003C486D" w:rsidRPr="003C486D">
          <w:rPr>
            <w:rStyle w:val="Hyperlink"/>
          </w:rPr>
          <w:br/>
        </w:r>
        <w:r w:rsidR="003C486D" w:rsidRPr="002F0A8A">
          <w:rPr>
            <w:rStyle w:val="Hyperlink"/>
          </w:rPr>
          <w:t>news/aan-statement-issue-advocacy-campaign-congressional-districts-nationwide</w:t>
        </w:r>
      </w:hyperlink>
      <w:r w:rsidR="00F31A8A">
        <w:t xml:space="preserve"> </w:t>
      </w:r>
      <w:r w:rsidR="000C092B">
        <w:t>(asserting AAN’s ads were “issue advocacy” supporting “items Congress must address during the upcoming lame duck session”).</w:t>
      </w:r>
    </w:p>
    <w:p w14:paraId="55A0431A" w14:textId="087568FB" w:rsidR="00DC7532" w:rsidRDefault="00C426DF" w:rsidP="000E4317">
      <w:pPr>
        <w:spacing w:line="480" w:lineRule="auto"/>
        <w:ind w:firstLine="720"/>
      </w:pPr>
      <w:r>
        <w:t>T</w:t>
      </w:r>
      <w:r w:rsidR="00157A98">
        <w:t xml:space="preserve">he viewers’ </w:t>
      </w:r>
      <w:r w:rsidR="00502771">
        <w:t xml:space="preserve">correct </w:t>
      </w:r>
      <w:r w:rsidR="00157A98">
        <w:t>understanding</w:t>
      </w:r>
      <w:r w:rsidR="00502771">
        <w:t xml:space="preserve"> of the purpose of the ads </w:t>
      </w:r>
      <w:r>
        <w:t xml:space="preserve">is not </w:t>
      </w:r>
      <w:r w:rsidR="00157A98">
        <w:t>undermined</w:t>
      </w:r>
      <w:r w:rsidR="003338A0">
        <w:t>, and is in fact supported,</w:t>
      </w:r>
      <w:r w:rsidR="00157A98">
        <w:t xml:space="preserve"> by t</w:t>
      </w:r>
      <w:r w:rsidR="00DC7532">
        <w:t xml:space="preserve">he materials cited by the controlling commissioners </w:t>
      </w:r>
      <w:r w:rsidR="00157A98">
        <w:t>to</w:t>
      </w:r>
      <w:r w:rsidR="00DC7532">
        <w:t xml:space="preserve"> </w:t>
      </w:r>
      <w:r w:rsidR="008C0869">
        <w:t>show that</w:t>
      </w:r>
      <w:r w:rsidR="003D722C">
        <w:t xml:space="preserve"> the lame duck session of Congress was likely to consider AAN’s favored policies—a </w:t>
      </w:r>
      <w:r w:rsidR="008C0869">
        <w:t>likelihood</w:t>
      </w:r>
      <w:r w:rsidR="003D722C">
        <w:t xml:space="preserve"> the controlling commissioners deem</w:t>
      </w:r>
      <w:r w:rsidR="00502771">
        <w:t>ed</w:t>
      </w:r>
      <w:r w:rsidR="003D722C">
        <w:t xml:space="preserve"> important to their analysis</w:t>
      </w:r>
      <w:r w:rsidR="00DC7532">
        <w:t xml:space="preserve">.  </w:t>
      </w:r>
      <w:r w:rsidR="008C0869" w:rsidRPr="008C0869">
        <w:rPr>
          <w:i/>
        </w:rPr>
        <w:t>See</w:t>
      </w:r>
      <w:r w:rsidR="008C0869">
        <w:t xml:space="preserve"> Ex. </w:t>
      </w:r>
      <w:r w:rsidR="00502771">
        <w:t xml:space="preserve">2 </w:t>
      </w:r>
      <w:r w:rsidR="008C0869">
        <w:t xml:space="preserve">at 6, 12.  </w:t>
      </w:r>
      <w:r w:rsidR="00DC7532" w:rsidRPr="008C0869">
        <w:t>For</w:t>
      </w:r>
      <w:r w:rsidR="00DC7532">
        <w:t xml:space="preserve"> example, </w:t>
      </w:r>
      <w:r w:rsidR="00502771">
        <w:t xml:space="preserve">the controlling commissioners asserted that the lame duck session was </w:t>
      </w:r>
      <w:r w:rsidR="000A4970">
        <w:t xml:space="preserve">expected to address </w:t>
      </w:r>
      <w:r w:rsidR="00DC7532">
        <w:t xml:space="preserve">the repeal of Obamacare </w:t>
      </w:r>
      <w:r w:rsidR="00AB5515">
        <w:t>which AAN favored</w:t>
      </w:r>
      <w:r w:rsidR="00DC7532">
        <w:t xml:space="preserve">, </w:t>
      </w:r>
      <w:r w:rsidR="00DC7532">
        <w:rPr>
          <w:i/>
        </w:rPr>
        <w:t xml:space="preserve">see </w:t>
      </w:r>
      <w:r w:rsidR="00DC7532">
        <w:t xml:space="preserve">Ex. 2 at 12–14 (quoting ads advocating “repeal[]” of “Obamacare” or “government healthcare”), </w:t>
      </w:r>
      <w:r w:rsidR="000A4970">
        <w:t xml:space="preserve">but </w:t>
      </w:r>
      <w:r w:rsidR="00DC7532">
        <w:t xml:space="preserve">the controlling commissioners </w:t>
      </w:r>
      <w:r w:rsidR="000A4970">
        <w:t xml:space="preserve">could only </w:t>
      </w:r>
      <w:r w:rsidR="00DC7532">
        <w:t xml:space="preserve">cite a </w:t>
      </w:r>
      <w:r w:rsidR="000A4970">
        <w:t xml:space="preserve">single </w:t>
      </w:r>
      <w:r w:rsidR="00DC7532">
        <w:t xml:space="preserve">news article </w:t>
      </w:r>
      <w:r w:rsidR="003F4FE8">
        <w:t>discussing R</w:t>
      </w:r>
      <w:r w:rsidR="003D722C">
        <w:t>epublican</w:t>
      </w:r>
      <w:r w:rsidR="000A4970">
        <w:t>-led</w:t>
      </w:r>
      <w:r w:rsidR="003D722C">
        <w:t xml:space="preserve"> </w:t>
      </w:r>
      <w:r w:rsidR="00DC7532">
        <w:t>repeal measures brought in the summer of 2010</w:t>
      </w:r>
      <w:r w:rsidR="000A4970">
        <w:t>,</w:t>
      </w:r>
      <w:r w:rsidR="00DC7532">
        <w:t xml:space="preserve">  Ex. 2 at 12 n. 44 (citing Paul Jenks, </w:t>
      </w:r>
      <w:r w:rsidR="00DC7532" w:rsidRPr="00C8701A">
        <w:rPr>
          <w:u w:val="single"/>
        </w:rPr>
        <w:t>Health Overhaul Celebrations Continue</w:t>
      </w:r>
      <w:r w:rsidR="00DC7532">
        <w:t xml:space="preserve">, CQ </w:t>
      </w:r>
      <w:proofErr w:type="spellStart"/>
      <w:r w:rsidR="00DC7532">
        <w:t>HealthBeat</w:t>
      </w:r>
      <w:proofErr w:type="spellEnd"/>
      <w:r w:rsidR="00DC7532">
        <w:t xml:space="preserve"> (Sept. 22, 2010)</w:t>
      </w:r>
      <w:r w:rsidR="00476C4A">
        <w:t>, attached as Ex</w:t>
      </w:r>
      <w:r w:rsidR="00885546">
        <w:t>hibit</w:t>
      </w:r>
      <w:r w:rsidR="00476C4A">
        <w:t xml:space="preserve"> </w:t>
      </w:r>
      <w:r w:rsidR="003C486D">
        <w:t>5</w:t>
      </w:r>
      <w:r w:rsidR="00DC7532">
        <w:t xml:space="preserve">).  </w:t>
      </w:r>
      <w:r w:rsidR="003D722C">
        <w:t xml:space="preserve">They </w:t>
      </w:r>
      <w:r w:rsidR="000A4970">
        <w:t xml:space="preserve">offered </w:t>
      </w:r>
      <w:r w:rsidR="003D722C">
        <w:t>no evidence</w:t>
      </w:r>
      <w:r w:rsidR="00213DA4">
        <w:t xml:space="preserve">, </w:t>
      </w:r>
      <w:r>
        <w:t>moreover</w:t>
      </w:r>
      <w:r w:rsidR="00213DA4">
        <w:t>,</w:t>
      </w:r>
      <w:r w:rsidR="003D722C">
        <w:t xml:space="preserve"> th</w:t>
      </w:r>
      <w:r w:rsidR="00C0398A">
        <w:t>at the lame</w:t>
      </w:r>
      <w:r w:rsidR="000A4970">
        <w:t xml:space="preserve"> </w:t>
      </w:r>
      <w:r w:rsidR="00C0398A">
        <w:t>duck session</w:t>
      </w:r>
      <w:r w:rsidR="000A4970">
        <w:t xml:space="preserve">, in which the same Democrats who passed Obamacare without a single Republican vote would be in the majority in both the House and the Senate, </w:t>
      </w:r>
      <w:r w:rsidR="003D722C">
        <w:t xml:space="preserve">was going to consider repealing </w:t>
      </w:r>
      <w:r w:rsidR="000A4970">
        <w:t>the landmark healthcare legislation</w:t>
      </w:r>
      <w:r w:rsidR="003D722C">
        <w:t xml:space="preserve">.  </w:t>
      </w:r>
      <w:r w:rsidR="000A4970">
        <w:t>In fact</w:t>
      </w:r>
      <w:r w:rsidR="003D722C">
        <w:t>, the evidence the</w:t>
      </w:r>
      <w:r w:rsidR="000A4970">
        <w:t xml:space="preserve"> controlling commissioners</w:t>
      </w:r>
      <w:r w:rsidR="003D722C">
        <w:t xml:space="preserve"> cite</w:t>
      </w:r>
      <w:r w:rsidR="000A4970">
        <w:t>d</w:t>
      </w:r>
      <w:r w:rsidR="003F4FE8">
        <w:t xml:space="preserve"> shows the opposite:  that the D</w:t>
      </w:r>
      <w:r w:rsidR="003D722C">
        <w:t>emocratic-controlled Congress “</w:t>
      </w:r>
      <w:proofErr w:type="gramStart"/>
      <w:r w:rsidR="003D722C">
        <w:t>plan[</w:t>
      </w:r>
      <w:proofErr w:type="spellStart"/>
      <w:proofErr w:type="gramEnd"/>
      <w:r w:rsidR="000A4970">
        <w:t>n</w:t>
      </w:r>
      <w:r w:rsidR="003D722C">
        <w:t>ed</w:t>
      </w:r>
      <w:proofErr w:type="spellEnd"/>
      <w:r w:rsidR="003D722C">
        <w:t xml:space="preserve">] an ambitious, lame-duck session to muscle through bills” and </w:t>
      </w:r>
      <w:r>
        <w:t xml:space="preserve">wanted to use it “as a way to </w:t>
      </w:r>
      <w:r w:rsidR="000A4970">
        <w:t xml:space="preserve">achieve </w:t>
      </w:r>
      <w:r w:rsidR="003D722C">
        <w:t>even more liberal measures that many of their members dare not even talk about”</w:t>
      </w:r>
      <w:r w:rsidR="000A4970">
        <w:t xml:space="preserve"> before the election</w:t>
      </w:r>
      <w:r>
        <w:t>, plans at odds with an intention to repeal Obamacare</w:t>
      </w:r>
      <w:r w:rsidR="000A4970">
        <w:t>.</w:t>
      </w:r>
      <w:r w:rsidR="003D722C">
        <w:t xml:space="preserve">  Ex. 2 at 7 n.32 (quoting John Fund, </w:t>
      </w:r>
      <w:r w:rsidR="003D722C" w:rsidRPr="00C8701A">
        <w:rPr>
          <w:u w:val="single"/>
        </w:rPr>
        <w:t>The Obama-Pelosi Lame Duck Strategy</w:t>
      </w:r>
      <w:r w:rsidR="003D722C">
        <w:t>, Wall St</w:t>
      </w:r>
      <w:r w:rsidR="000A4970">
        <w:t xml:space="preserve">reet </w:t>
      </w:r>
      <w:r w:rsidR="003D722C">
        <w:t>J</w:t>
      </w:r>
      <w:r w:rsidR="000A4970">
        <w:t>ournal</w:t>
      </w:r>
      <w:r w:rsidR="003D722C">
        <w:t xml:space="preserve"> (July 9, 2010)</w:t>
      </w:r>
      <w:r w:rsidR="00476C4A">
        <w:t>, attached as Ex</w:t>
      </w:r>
      <w:r w:rsidR="00885546">
        <w:t>hibit</w:t>
      </w:r>
      <w:r w:rsidR="00476C4A">
        <w:t xml:space="preserve"> </w:t>
      </w:r>
      <w:r w:rsidR="003C486D">
        <w:t>6</w:t>
      </w:r>
      <w:r w:rsidR="003D722C">
        <w:t xml:space="preserve">; Charles Krauthammer, </w:t>
      </w:r>
      <w:r w:rsidR="003D722C" w:rsidRPr="00C8701A">
        <w:rPr>
          <w:u w:val="single"/>
        </w:rPr>
        <w:t>Beware the Lame Duck</w:t>
      </w:r>
      <w:r w:rsidR="003D722C">
        <w:t>, Wash</w:t>
      </w:r>
      <w:r w:rsidR="000A4970">
        <w:t>ington</w:t>
      </w:r>
      <w:r w:rsidR="003D722C">
        <w:t xml:space="preserve"> Post (July </w:t>
      </w:r>
      <w:r w:rsidR="00744485">
        <w:t>23, 2010)</w:t>
      </w:r>
      <w:r w:rsidR="00885546">
        <w:t xml:space="preserve">, </w:t>
      </w:r>
      <w:r w:rsidR="00885546">
        <w:rPr>
          <w:i/>
        </w:rPr>
        <w:t>available at</w:t>
      </w:r>
      <w:r w:rsidR="00E21B59">
        <w:rPr>
          <w:i/>
        </w:rPr>
        <w:t xml:space="preserve"> </w:t>
      </w:r>
      <w:hyperlink r:id="rId20" w:history="1">
        <w:r w:rsidR="00E21B59" w:rsidRPr="00AC6ED8">
          <w:rPr>
            <w:rStyle w:val="Hyperlink"/>
          </w:rPr>
          <w:t>http://www.washingtonpost.com/wp-dyn/content/article/2010/07/22/AR2010072204029.html</w:t>
        </w:r>
      </w:hyperlink>
      <w:r w:rsidR="008C0869">
        <w:t>)</w:t>
      </w:r>
      <w:r w:rsidR="00744485">
        <w:t xml:space="preserve">.  The </w:t>
      </w:r>
      <w:r w:rsidR="00360F57">
        <w:t xml:space="preserve">fallacy that there could be </w:t>
      </w:r>
      <w:r w:rsidR="00744485">
        <w:t xml:space="preserve">action on the repeal measures is further demonstrated </w:t>
      </w:r>
      <w:r w:rsidR="00360F57">
        <w:t xml:space="preserve">by </w:t>
      </w:r>
      <w:r w:rsidR="00744485">
        <w:t>the bill AAN chose to focus on</w:t>
      </w:r>
      <w:r w:rsidR="00360F57">
        <w:t>,</w:t>
      </w:r>
      <w:r w:rsidR="00744485">
        <w:t xml:space="preserve"> H.R. 4903.  Ex. 2 at 13.  That bill was introduced on March 22, 2010, and the last action taken on it—being referred to a committee—was on April 30, 2010.  </w:t>
      </w:r>
      <w:r w:rsidR="00744485">
        <w:rPr>
          <w:i/>
        </w:rPr>
        <w:t>See</w:t>
      </w:r>
      <w:r w:rsidR="00744485">
        <w:t xml:space="preserve"> Library of Congress, </w:t>
      </w:r>
      <w:r w:rsidR="00744485" w:rsidRPr="00C8701A">
        <w:rPr>
          <w:u w:val="single"/>
        </w:rPr>
        <w:t>H.R. 4903 – To repeal the Patient Protection and Affordable Care Act</w:t>
      </w:r>
      <w:r w:rsidR="00744485">
        <w:t xml:space="preserve">, </w:t>
      </w:r>
      <w:r w:rsidR="00744485">
        <w:rPr>
          <w:i/>
        </w:rPr>
        <w:t>available at</w:t>
      </w:r>
      <w:r w:rsidR="00744485">
        <w:t xml:space="preserve"> </w:t>
      </w:r>
      <w:hyperlink r:id="rId21" w:history="1">
        <w:r w:rsidR="00C55EDD" w:rsidRPr="00C55EDD">
          <w:rPr>
            <w:rStyle w:val="Hyperlink"/>
          </w:rPr>
          <w:t>https://www.congress.gov/bill/111th-congress/house-bill/4903?q=%7B%22</w:t>
        </w:r>
        <w:r w:rsidR="00C55EDD" w:rsidRPr="00C55EDD">
          <w:rPr>
            <w:rStyle w:val="Hyperlink"/>
          </w:rPr>
          <w:br/>
        </w:r>
        <w:r w:rsidR="00C55EDD" w:rsidRPr="00D73AEA">
          <w:rPr>
            <w:rStyle w:val="Hyperlink"/>
          </w:rPr>
          <w:t>search%22%3A%5B%22H.R.+4903%22%5D%7D&amp;resultIndex=4</w:t>
        </w:r>
      </w:hyperlink>
      <w:r w:rsidR="00744485">
        <w:t xml:space="preserve">.  </w:t>
      </w:r>
      <w:r w:rsidR="009D4978">
        <w:t>Simply put, there was no chance of repeal of Obamacare in the lame</w:t>
      </w:r>
      <w:r w:rsidR="00360F57">
        <w:t xml:space="preserve"> </w:t>
      </w:r>
      <w:r w:rsidR="009D4978">
        <w:t>duck</w:t>
      </w:r>
      <w:r w:rsidR="00360F57">
        <w:t xml:space="preserve"> session</w:t>
      </w:r>
      <w:r w:rsidR="009D4978">
        <w:t xml:space="preserve">, and no reasonable voter would have understood AAN’s ads as suggesting </w:t>
      </w:r>
      <w:r w:rsidR="003338A0" w:rsidRPr="003338A0">
        <w:t xml:space="preserve">that contacting their representatives was </w:t>
      </w:r>
      <w:r w:rsidR="009D4978">
        <w:t>a viable option</w:t>
      </w:r>
      <w:r w:rsidR="003338A0">
        <w:t xml:space="preserve"> to win repeal</w:t>
      </w:r>
      <w:r w:rsidR="009D4978">
        <w:t xml:space="preserve">.  Any voter who saw AAN’s ad would </w:t>
      </w:r>
      <w:r w:rsidR="00360F57">
        <w:t xml:space="preserve">instead understand </w:t>
      </w:r>
      <w:r w:rsidR="009D4978">
        <w:t xml:space="preserve">the only way to </w:t>
      </w:r>
      <w:r w:rsidR="00AF7EF5">
        <w:t>achieve</w:t>
      </w:r>
      <w:r w:rsidR="00AF7EF5" w:rsidDel="00AF7EF5">
        <w:t xml:space="preserve"> </w:t>
      </w:r>
      <w:r w:rsidR="009D4978">
        <w:t xml:space="preserve">repeal would be to vote out the referenced </w:t>
      </w:r>
      <w:r w:rsidR="0016392F">
        <w:t>representative</w:t>
      </w:r>
      <w:r w:rsidR="00360F57">
        <w:t xml:space="preserve"> “in November</w:t>
      </w:r>
      <w:r w:rsidR="009D4978">
        <w:t>.</w:t>
      </w:r>
      <w:r w:rsidR="00360F57">
        <w:t>”</w:t>
      </w:r>
      <w:r w:rsidR="00E9443B" w:rsidRPr="00E9443B">
        <w:rPr>
          <w:rStyle w:val="FootnoteReference"/>
        </w:rPr>
        <w:t xml:space="preserve"> </w:t>
      </w:r>
      <w:r w:rsidR="00E9443B">
        <w:rPr>
          <w:rStyle w:val="FootnoteReference"/>
        </w:rPr>
        <w:footnoteReference w:id="8"/>
      </w:r>
    </w:p>
    <w:p w14:paraId="21AEC7C1" w14:textId="168465D8" w:rsidR="00F059EA" w:rsidRDefault="00D834F8" w:rsidP="003A76A8">
      <w:pPr>
        <w:spacing w:line="480" w:lineRule="auto"/>
        <w:ind w:firstLine="720"/>
      </w:pPr>
      <w:r>
        <w:t xml:space="preserve">The controlling commissioners similarly stretch other legislative possibilities to try to shoehorn AAN’s ads into potential legislation.  For example, the controlling commissioners </w:t>
      </w:r>
      <w:r w:rsidR="00AF7EF5">
        <w:t xml:space="preserve">conclude that all of </w:t>
      </w:r>
      <w:r>
        <w:t xml:space="preserve">AAN’s ads </w:t>
      </w:r>
      <w:r w:rsidR="00AF7EF5">
        <w:t xml:space="preserve">that mention </w:t>
      </w:r>
      <w:r>
        <w:t xml:space="preserve">“tax cuts” and “tax hikes” </w:t>
      </w:r>
      <w:r w:rsidR="00AF7EF5">
        <w:t xml:space="preserve">would have been understood as calling for action in </w:t>
      </w:r>
      <w:r>
        <w:t>the lame</w:t>
      </w:r>
      <w:r w:rsidR="00AF7EF5">
        <w:t xml:space="preserve"> </w:t>
      </w:r>
      <w:r>
        <w:t>duck</w:t>
      </w:r>
      <w:r w:rsidR="00AF7EF5">
        <w:t xml:space="preserve"> session for </w:t>
      </w:r>
      <w:r>
        <w:t>extending the Bush</w:t>
      </w:r>
      <w:r w:rsidR="00F059EA">
        <w:t>-era</w:t>
      </w:r>
      <w:r>
        <w:t xml:space="preserve"> tax cuts, even though a number of ads ha</w:t>
      </w:r>
      <w:r w:rsidR="00F059EA">
        <w:t>d</w:t>
      </w:r>
      <w:r>
        <w:t xml:space="preserve"> no apparent connection to </w:t>
      </w:r>
      <w:r w:rsidR="00F059EA">
        <w:t xml:space="preserve">those </w:t>
      </w:r>
      <w:r>
        <w:t xml:space="preserve">tax cuts other than the fact that they address taxes.  </w:t>
      </w:r>
      <w:r>
        <w:rPr>
          <w:i/>
        </w:rPr>
        <w:t>See, e.g.</w:t>
      </w:r>
      <w:r>
        <w:t>, Ex. 2 at 8–9 (</w:t>
      </w:r>
      <w:r w:rsidR="00AF7EF5">
        <w:t xml:space="preserve">analyzing ads </w:t>
      </w:r>
      <w:r>
        <w:t xml:space="preserve">discussing </w:t>
      </w:r>
      <w:r w:rsidR="00AF7EF5">
        <w:t xml:space="preserve">the </w:t>
      </w:r>
      <w:r>
        <w:t>possibility of a “huge tax hike on small businesses”</w:t>
      </w:r>
      <w:r w:rsidR="00AF7EF5">
        <w:t xml:space="preserve"> </w:t>
      </w:r>
      <w:r w:rsidR="00F059EA">
        <w:t xml:space="preserve">and </w:t>
      </w:r>
      <w:r w:rsidR="00AF7EF5">
        <w:t>criticizing a candidate for voting to “delay extending child tax credits for families”</w:t>
      </w:r>
      <w:r>
        <w:t xml:space="preserve">). </w:t>
      </w:r>
      <w:r w:rsidR="00030101">
        <w:t xml:space="preserve"> </w:t>
      </w:r>
      <w:r w:rsidR="00F059EA">
        <w:t>One ad was so muddled that it asserted “Congress wants to raise taxes</w:t>
      </w:r>
      <w:r w:rsidR="003338A0">
        <w:t>,</w:t>
      </w:r>
      <w:r w:rsidR="00F059EA">
        <w:t>” then urged viewers to call a congressman and “tell him to vote for a tax cut in November.”  Ex. 2 at 9 (</w:t>
      </w:r>
      <w:r w:rsidR="00C426DF">
        <w:t xml:space="preserve">discussing </w:t>
      </w:r>
      <w:r w:rsidR="00F059EA">
        <w:t>“Wallpaper” ad).</w:t>
      </w:r>
      <w:r w:rsidR="00A47F29">
        <w:t xml:space="preserve">  Ads like these simply cannot be understood as advocating actual legislative action to extend the Bush-era tax cuts.</w:t>
      </w:r>
    </w:p>
    <w:p w14:paraId="72BF9F9A" w14:textId="374260B6" w:rsidR="00423427" w:rsidRPr="003A76A8" w:rsidRDefault="00406FEE" w:rsidP="003A76A8">
      <w:pPr>
        <w:spacing w:line="480" w:lineRule="auto"/>
        <w:ind w:firstLine="720"/>
        <w:rPr>
          <w:b/>
        </w:rPr>
      </w:pPr>
      <w:r>
        <w:t xml:space="preserve">The controlling commissioners’ analysis of AAN’s ads addressing other legislation that ostensibly could come to a vote in the lame duck session is similarly flawed.  </w:t>
      </w:r>
      <w:r w:rsidR="00D834F8">
        <w:t>The</w:t>
      </w:r>
      <w:r>
        <w:t>y</w:t>
      </w:r>
      <w:r w:rsidR="00D834F8">
        <w:t xml:space="preserve"> are only able to cast </w:t>
      </w:r>
      <w:r>
        <w:t xml:space="preserve">the </w:t>
      </w:r>
      <w:r w:rsidR="00D834F8">
        <w:t>ads as addressing pressing legislation by characterizing the</w:t>
      </w:r>
      <w:r>
        <w:t>m</w:t>
      </w:r>
      <w:r w:rsidR="00D834F8">
        <w:t xml:space="preserve"> at such a high level of generality that it would be impossible </w:t>
      </w:r>
      <w:r w:rsidR="00500FC1">
        <w:t>to find a legislative-focused</w:t>
      </w:r>
      <w:r w:rsidR="00D834F8">
        <w:t xml:space="preserve"> ad that doesn’t </w:t>
      </w:r>
      <w:r w:rsidR="00500FC1">
        <w:t>relate to</w:t>
      </w:r>
      <w:r w:rsidR="00D834F8">
        <w:t xml:space="preserve"> </w:t>
      </w:r>
      <w:r w:rsidR="00500FC1">
        <w:t>a pending</w:t>
      </w:r>
      <w:r w:rsidR="00D834F8">
        <w:t xml:space="preserve"> </w:t>
      </w:r>
      <w:r w:rsidR="00500FC1">
        <w:t>bill</w:t>
      </w:r>
      <w:r w:rsidR="00B02ED2">
        <w:t>.</w:t>
      </w:r>
      <w:r w:rsidR="00D834F8">
        <w:t xml:space="preserve"> </w:t>
      </w:r>
      <w:r w:rsidR="0016392F" w:rsidRPr="0016392F">
        <w:t xml:space="preserve"> </w:t>
      </w:r>
      <w:r w:rsidR="00B02ED2">
        <w:t xml:space="preserve">One would be hard pressed to think of a time in the modern age in which Congress </w:t>
      </w:r>
      <w:r w:rsidR="00C426DF">
        <w:t xml:space="preserve">did not have before it </w:t>
      </w:r>
      <w:r w:rsidR="00B02ED2">
        <w:t>some bill related to taxes, spending, health care, or energy.</w:t>
      </w:r>
    </w:p>
    <w:p w14:paraId="24F23964" w14:textId="37C28C79" w:rsidR="00D834F8" w:rsidRDefault="00E9443B" w:rsidP="000E4317">
      <w:pPr>
        <w:spacing w:line="480" w:lineRule="auto"/>
        <w:ind w:firstLine="720"/>
      </w:pPr>
      <w:r>
        <w:t xml:space="preserve">The controlling commissioners similarly depend on a high level of generality in comparing </w:t>
      </w:r>
      <w:r w:rsidR="00402D29">
        <w:t xml:space="preserve">the policy discussed </w:t>
      </w:r>
      <w:r w:rsidR="00C426DF">
        <w:t xml:space="preserve">in an ad </w:t>
      </w:r>
      <w:r w:rsidR="00D834F8">
        <w:t xml:space="preserve">to the </w:t>
      </w:r>
      <w:r w:rsidR="00885546">
        <w:t xml:space="preserve">“speaker’s issue </w:t>
      </w:r>
      <w:r w:rsidR="00D834F8">
        <w:t xml:space="preserve">agenda.”  Ex. 2 at 6.  </w:t>
      </w:r>
      <w:r w:rsidR="003C486D">
        <w:t>The controlling commissioners assert that</w:t>
      </w:r>
      <w:r w:rsidR="004560C6">
        <w:t xml:space="preserve">, if a group limits the policies discussed to those that fit within their mission statement or those that appear on their website, </w:t>
      </w:r>
      <w:r w:rsidR="004560C6">
        <w:rPr>
          <w:i/>
        </w:rPr>
        <w:t>see, e.g.</w:t>
      </w:r>
      <w:r w:rsidR="004560C6">
        <w:t xml:space="preserve">, </w:t>
      </w:r>
      <w:r w:rsidR="004560C6">
        <w:rPr>
          <w:i/>
        </w:rPr>
        <w:t>id.</w:t>
      </w:r>
      <w:r w:rsidR="004560C6">
        <w:t xml:space="preserve"> </w:t>
      </w:r>
      <w:proofErr w:type="gramStart"/>
      <w:r w:rsidR="004560C6">
        <w:t>at</w:t>
      </w:r>
      <w:proofErr w:type="gramEnd"/>
      <w:r w:rsidR="004560C6">
        <w:t xml:space="preserve"> 2,</w:t>
      </w:r>
      <w:r w:rsidR="00885546">
        <w:t xml:space="preserve"> 10 &amp; n.40,</w:t>
      </w:r>
      <w:r w:rsidR="004560C6">
        <w:t xml:space="preserve"> 15 </w:t>
      </w:r>
      <w:r w:rsidR="00885546">
        <w:t xml:space="preserve">&amp; </w:t>
      </w:r>
      <w:r w:rsidR="004560C6">
        <w:t>n.49, then the ads are not electoral</w:t>
      </w:r>
      <w:r w:rsidR="0092752D">
        <w:t xml:space="preserve"> but are rather “issue” based</w:t>
      </w:r>
      <w:r w:rsidR="004560C6">
        <w:t xml:space="preserve">.  </w:t>
      </w:r>
      <w:r>
        <w:t xml:space="preserve">As </w:t>
      </w:r>
      <w:r w:rsidR="00D834F8">
        <w:t>the controlling commissioners</w:t>
      </w:r>
      <w:r>
        <w:t xml:space="preserve"> note</w:t>
      </w:r>
      <w:r w:rsidR="00D834F8">
        <w:t xml:space="preserve">, however, AAN’s </w:t>
      </w:r>
      <w:r>
        <w:t xml:space="preserve">stated </w:t>
      </w:r>
      <w:r w:rsidR="00D834F8">
        <w:t>agenda is to “create, encourage, and promote center-right policies based on the principles of freed</w:t>
      </w:r>
      <w:r w:rsidR="00885546">
        <w:t>om</w:t>
      </w:r>
      <w:r w:rsidR="00D834F8">
        <w:t xml:space="preserve">, limited government, American exceptionalism, and strong national policy.”  </w:t>
      </w:r>
      <w:r w:rsidR="00D834F8">
        <w:rPr>
          <w:i/>
        </w:rPr>
        <w:t>Id.</w:t>
      </w:r>
      <w:r w:rsidR="00D834F8">
        <w:t xml:space="preserve"> at 2.</w:t>
      </w:r>
      <w:r w:rsidR="001A7199">
        <w:t xml:space="preserve"> </w:t>
      </w:r>
      <w:r w:rsidR="00D834F8">
        <w:t xml:space="preserve"> </w:t>
      </w:r>
      <w:r>
        <w:t xml:space="preserve">That </w:t>
      </w:r>
      <w:r w:rsidR="00D834F8">
        <w:t xml:space="preserve">agenda is so broad that </w:t>
      </w:r>
      <w:r>
        <w:t xml:space="preserve">it is difficult </w:t>
      </w:r>
      <w:r w:rsidR="00D834F8">
        <w:t xml:space="preserve">to </w:t>
      </w:r>
      <w:r w:rsidR="00C426DF">
        <w:t xml:space="preserve">conceive of </w:t>
      </w:r>
      <w:r w:rsidR="00D834F8">
        <w:t xml:space="preserve">an issue that would </w:t>
      </w:r>
      <w:r w:rsidR="00D834F8">
        <w:rPr>
          <w:i/>
        </w:rPr>
        <w:t>not</w:t>
      </w:r>
      <w:r w:rsidR="00D834F8">
        <w:t xml:space="preserve"> be part of </w:t>
      </w:r>
      <w:r>
        <w:t>it</w:t>
      </w:r>
      <w:r w:rsidR="006D3A7C">
        <w:t xml:space="preserve">.  . </w:t>
      </w:r>
    </w:p>
    <w:p w14:paraId="46A4ECAB" w14:textId="1B490C39" w:rsidR="00F744C7" w:rsidRDefault="00F744C7" w:rsidP="000E4317">
      <w:pPr>
        <w:spacing w:line="480" w:lineRule="auto"/>
        <w:ind w:firstLine="720"/>
      </w:pPr>
      <w:r>
        <w:t xml:space="preserve">The controlling commissioners arbitrarily and capriciously ignore portions of the communications and context that would </w:t>
      </w:r>
      <w:r w:rsidR="003338A0">
        <w:t xml:space="preserve">have been </w:t>
      </w:r>
      <w:r>
        <w:t>readily apparent to any viewer of AAN’s ads.  They provide no justification for neglecting these relevant portions of the ad in any “fact-intensive” “[a]d-by-[a]d” analysis, and provide no justification for their revisionist history of the 2010 lame</w:t>
      </w:r>
      <w:r w:rsidR="00406FEE">
        <w:t xml:space="preserve"> </w:t>
      </w:r>
      <w:r>
        <w:t>duck</w:t>
      </w:r>
      <w:r w:rsidR="00406FEE">
        <w:t xml:space="preserve"> session</w:t>
      </w:r>
      <w:r>
        <w:t>.  Accordingly, their insistence on reaching conclusions that “</w:t>
      </w:r>
      <w:proofErr w:type="gramStart"/>
      <w:r>
        <w:t>blink[</w:t>
      </w:r>
      <w:proofErr w:type="gramEnd"/>
      <w:r>
        <w:t>] reality” contravenes this Court’s order and renders the dismissal of Plaintiffs’ complaint contrary to law.</w:t>
      </w:r>
    </w:p>
    <w:p w14:paraId="401836C9" w14:textId="2EC9729E" w:rsidR="00F744C7" w:rsidRPr="00D834F8" w:rsidRDefault="00A40EDB" w:rsidP="00FF3ED1">
      <w:pPr>
        <w:pStyle w:val="Heading2"/>
      </w:pPr>
      <w:r>
        <w:t>The Controlling Commissioner</w:t>
      </w:r>
      <w:r w:rsidR="00795894">
        <w:t>s</w:t>
      </w:r>
      <w:r>
        <w:t xml:space="preserve"> </w:t>
      </w:r>
      <w:r w:rsidR="001B5926">
        <w:t>Misconstrued</w:t>
      </w:r>
      <w:r>
        <w:t xml:space="preserve"> the Court’s Order as Barring Treatment of All AAN’s Ads as Having an Electoral </w:t>
      </w:r>
      <w:r w:rsidR="00A461B3">
        <w:t>Purpose</w:t>
      </w:r>
    </w:p>
    <w:p w14:paraId="691DF8E1" w14:textId="6ADC04B6" w:rsidR="00A461B3" w:rsidRDefault="00A461B3" w:rsidP="000E4317">
      <w:pPr>
        <w:spacing w:line="480" w:lineRule="auto"/>
        <w:ind w:firstLine="720"/>
        <w:rPr>
          <w:szCs w:val="24"/>
        </w:rPr>
      </w:pPr>
      <w:r>
        <w:rPr>
          <w:szCs w:val="24"/>
        </w:rPr>
        <w:t xml:space="preserve">In </w:t>
      </w:r>
      <w:r w:rsidR="00BD0E5B">
        <w:rPr>
          <w:szCs w:val="24"/>
        </w:rPr>
        <w:t xml:space="preserve">formulating </w:t>
      </w:r>
      <w:r>
        <w:rPr>
          <w:szCs w:val="24"/>
        </w:rPr>
        <w:t>their impermissible and unreasonable analysis, the controlling commissioners apparently construed this Court</w:t>
      </w:r>
      <w:r w:rsidR="00BD0E5B">
        <w:rPr>
          <w:szCs w:val="24"/>
        </w:rPr>
        <w:t>’s order</w:t>
      </w:r>
      <w:r>
        <w:rPr>
          <w:szCs w:val="24"/>
        </w:rPr>
        <w:t xml:space="preserve"> as prohibiting them from considering “</w:t>
      </w:r>
      <w:r w:rsidRPr="00A461B3">
        <w:rPr>
          <w:i/>
          <w:szCs w:val="24"/>
        </w:rPr>
        <w:t>all</w:t>
      </w:r>
      <w:r>
        <w:rPr>
          <w:szCs w:val="24"/>
        </w:rPr>
        <w:t xml:space="preserve"> electioneering communications as indicative of a purpose to nominate or elect a candidate.”  Ex. 2 at 4.  The Court </w:t>
      </w:r>
      <w:r w:rsidR="003338A0">
        <w:rPr>
          <w:szCs w:val="24"/>
        </w:rPr>
        <w:t xml:space="preserve">reached </w:t>
      </w:r>
      <w:r>
        <w:rPr>
          <w:szCs w:val="24"/>
        </w:rPr>
        <w:t>no such sweeping conclusion, however, and only “refrain[</w:t>
      </w:r>
      <w:proofErr w:type="spellStart"/>
      <w:r>
        <w:rPr>
          <w:szCs w:val="24"/>
        </w:rPr>
        <w:t>ed</w:t>
      </w:r>
      <w:proofErr w:type="spellEnd"/>
      <w:r>
        <w:rPr>
          <w:szCs w:val="24"/>
        </w:rPr>
        <w:t xml:space="preserve">] from replacing the Commissioners’ bright-line rule [excluding all non-express advocacy communications] with its own.”  Mem. Op. at 23.  </w:t>
      </w:r>
      <w:r w:rsidR="00D05767">
        <w:rPr>
          <w:szCs w:val="24"/>
        </w:rPr>
        <w:t>Despite the controlling commissioners’ belief otherwise, the Court made no finding about whether it would be impermissible to treat all ads meeting the narrow definition of an electioneering communication and not falling within one of the statutory exceptions as designed to influence an election.</w:t>
      </w:r>
      <w:r w:rsidR="00E8269C">
        <w:rPr>
          <w:szCs w:val="24"/>
        </w:rPr>
        <w:t xml:space="preserve">  </w:t>
      </w:r>
    </w:p>
    <w:p w14:paraId="20CB76B7" w14:textId="73080E52" w:rsidR="002A136B" w:rsidRDefault="005661F5" w:rsidP="000E4317">
      <w:pPr>
        <w:spacing w:line="480" w:lineRule="auto"/>
        <w:ind w:firstLine="720"/>
        <w:rPr>
          <w:szCs w:val="24"/>
        </w:rPr>
      </w:pPr>
      <w:r>
        <w:rPr>
          <w:szCs w:val="24"/>
        </w:rPr>
        <w:t xml:space="preserve">There would be nothing </w:t>
      </w:r>
      <w:r w:rsidR="001E427F">
        <w:rPr>
          <w:szCs w:val="24"/>
        </w:rPr>
        <w:t>contrary to</w:t>
      </w:r>
      <w:r>
        <w:rPr>
          <w:szCs w:val="24"/>
        </w:rPr>
        <w:t xml:space="preserve"> law, moreover, in the FEC’s conforming with the conclusion already reached by Congress and upheld by the </w:t>
      </w:r>
      <w:r w:rsidR="005F5CDF">
        <w:rPr>
          <w:szCs w:val="24"/>
        </w:rPr>
        <w:t xml:space="preserve">Supreme </w:t>
      </w:r>
      <w:r>
        <w:rPr>
          <w:szCs w:val="24"/>
        </w:rPr>
        <w:t xml:space="preserve">Court:  </w:t>
      </w:r>
      <w:r w:rsidR="00030101">
        <w:rPr>
          <w:szCs w:val="24"/>
        </w:rPr>
        <w:t xml:space="preserve">all ads that are broadcast shortly before an election, refer to a clearly identified candidate, target that candidate’s electorate, and do not qualify as a “news story, commentary, or editorial” </w:t>
      </w:r>
      <w:r w:rsidR="003B7AF7">
        <w:rPr>
          <w:szCs w:val="24"/>
        </w:rPr>
        <w:t xml:space="preserve">or fall under one of the other exceptions </w:t>
      </w:r>
      <w:r w:rsidR="00030101">
        <w:rPr>
          <w:szCs w:val="24"/>
        </w:rPr>
        <w:t>are deemed election</w:t>
      </w:r>
      <w:r w:rsidR="00C426DF">
        <w:rPr>
          <w:szCs w:val="24"/>
        </w:rPr>
        <w:t>-</w:t>
      </w:r>
      <w:r w:rsidR="00030101">
        <w:rPr>
          <w:szCs w:val="24"/>
        </w:rPr>
        <w:t xml:space="preserve">related.  </w:t>
      </w:r>
      <w:r w:rsidR="00030101">
        <w:rPr>
          <w:i/>
          <w:szCs w:val="24"/>
        </w:rPr>
        <w:t>See</w:t>
      </w:r>
      <w:r w:rsidR="00030101">
        <w:rPr>
          <w:szCs w:val="24"/>
        </w:rPr>
        <w:t xml:space="preserve"> 52 U.S.C. § 30104(f</w:t>
      </w:r>
      <w:proofErr w:type="gramStart"/>
      <w:r w:rsidR="00030101">
        <w:rPr>
          <w:szCs w:val="24"/>
        </w:rPr>
        <w:t>)</w:t>
      </w:r>
      <w:r w:rsidR="00FB1DE2">
        <w:rPr>
          <w:szCs w:val="24"/>
        </w:rPr>
        <w:t>(</w:t>
      </w:r>
      <w:proofErr w:type="gramEnd"/>
      <w:r w:rsidR="00FB1DE2">
        <w:rPr>
          <w:szCs w:val="24"/>
        </w:rPr>
        <w:t>3)</w:t>
      </w:r>
      <w:r w:rsidR="00A21344">
        <w:rPr>
          <w:szCs w:val="24"/>
        </w:rPr>
        <w:t xml:space="preserve"> (defining “electioneering communication” and providing exceptions)</w:t>
      </w:r>
      <w:r w:rsidR="00030101">
        <w:rPr>
          <w:szCs w:val="24"/>
        </w:rPr>
        <w:t xml:space="preserve">.  Congress chose to regulate these ads under the </w:t>
      </w:r>
      <w:r w:rsidR="00540B7D">
        <w:rPr>
          <w:szCs w:val="24"/>
        </w:rPr>
        <w:t>FECA</w:t>
      </w:r>
      <w:r w:rsidR="00030101">
        <w:rPr>
          <w:szCs w:val="24"/>
        </w:rPr>
        <w:t xml:space="preserve"> because it understood </w:t>
      </w:r>
      <w:r w:rsidR="003338A0">
        <w:rPr>
          <w:szCs w:val="24"/>
        </w:rPr>
        <w:t xml:space="preserve">that </w:t>
      </w:r>
      <w:r w:rsidR="00030101">
        <w:rPr>
          <w:szCs w:val="24"/>
        </w:rPr>
        <w:t>ads that met these qualities were sufficiently election</w:t>
      </w:r>
      <w:r w:rsidR="00BD0E5B">
        <w:rPr>
          <w:szCs w:val="24"/>
        </w:rPr>
        <w:t>-</w:t>
      </w:r>
      <w:r w:rsidR="00030101">
        <w:rPr>
          <w:szCs w:val="24"/>
        </w:rPr>
        <w:t>related to be regulated as campaign ads.</w:t>
      </w:r>
      <w:r w:rsidR="00540B7D">
        <w:rPr>
          <w:szCs w:val="24"/>
        </w:rPr>
        <w:t xml:space="preserve">  </w:t>
      </w:r>
      <w:r w:rsidR="00540B7D">
        <w:rPr>
          <w:i/>
          <w:szCs w:val="24"/>
        </w:rPr>
        <w:t xml:space="preserve">See </w:t>
      </w:r>
      <w:r w:rsidR="00540B7D">
        <w:rPr>
          <w:szCs w:val="24"/>
        </w:rPr>
        <w:t xml:space="preserve">Pls.’ Mot. </w:t>
      </w:r>
      <w:proofErr w:type="gramStart"/>
      <w:r w:rsidR="00540B7D">
        <w:rPr>
          <w:szCs w:val="24"/>
        </w:rPr>
        <w:t>for</w:t>
      </w:r>
      <w:proofErr w:type="gramEnd"/>
      <w:r w:rsidR="00540B7D">
        <w:rPr>
          <w:szCs w:val="24"/>
        </w:rPr>
        <w:t xml:space="preserve"> </w:t>
      </w:r>
      <w:proofErr w:type="spellStart"/>
      <w:r w:rsidR="00540B7D">
        <w:rPr>
          <w:szCs w:val="24"/>
        </w:rPr>
        <w:t>Summ</w:t>
      </w:r>
      <w:proofErr w:type="spellEnd"/>
      <w:r w:rsidR="00540B7D">
        <w:rPr>
          <w:szCs w:val="24"/>
        </w:rPr>
        <w:t>. J. 26–27 &amp; n.15, ECF No. 33.</w:t>
      </w:r>
      <w:r w:rsidR="00030101">
        <w:rPr>
          <w:szCs w:val="24"/>
        </w:rPr>
        <w:t xml:space="preserve">  </w:t>
      </w:r>
      <w:r w:rsidR="004708EE">
        <w:rPr>
          <w:szCs w:val="24"/>
        </w:rPr>
        <w:t>That test</w:t>
      </w:r>
      <w:r w:rsidR="000102F2">
        <w:rPr>
          <w:szCs w:val="24"/>
        </w:rPr>
        <w:t xml:space="preserve"> further</w:t>
      </w:r>
      <w:r w:rsidR="004708EE">
        <w:rPr>
          <w:szCs w:val="24"/>
        </w:rPr>
        <w:t xml:space="preserve"> has th</w:t>
      </w:r>
      <w:r w:rsidR="000102F2">
        <w:rPr>
          <w:szCs w:val="24"/>
        </w:rPr>
        <w:t>e</w:t>
      </w:r>
      <w:r w:rsidR="004708EE">
        <w:rPr>
          <w:szCs w:val="24"/>
        </w:rPr>
        <w:t xml:space="preserve"> benefits of “objectivity, clarity, and consistency,” Ex. 2 at 6, as well as being </w:t>
      </w:r>
      <w:r w:rsidR="00D50030">
        <w:rPr>
          <w:szCs w:val="24"/>
        </w:rPr>
        <w:t>narrow</w:t>
      </w:r>
      <w:r w:rsidR="003B7AF7">
        <w:rPr>
          <w:szCs w:val="24"/>
        </w:rPr>
        <w:t>ly</w:t>
      </w:r>
      <w:r w:rsidR="004708EE">
        <w:rPr>
          <w:szCs w:val="24"/>
        </w:rPr>
        <w:t xml:space="preserve"> defined</w:t>
      </w:r>
      <w:r w:rsidR="003B7AF7">
        <w:rPr>
          <w:szCs w:val="24"/>
        </w:rPr>
        <w:t>,</w:t>
      </w:r>
      <w:r w:rsidR="004708EE">
        <w:rPr>
          <w:szCs w:val="24"/>
        </w:rPr>
        <w:t xml:space="preserve"> </w:t>
      </w:r>
      <w:r w:rsidR="007F0067">
        <w:rPr>
          <w:szCs w:val="24"/>
        </w:rPr>
        <w:t>requir</w:t>
      </w:r>
      <w:r w:rsidR="003B7AF7">
        <w:rPr>
          <w:szCs w:val="24"/>
        </w:rPr>
        <w:t>ing</w:t>
      </w:r>
      <w:r w:rsidR="007F0067">
        <w:rPr>
          <w:szCs w:val="24"/>
        </w:rPr>
        <w:t xml:space="preserve"> only disclosure</w:t>
      </w:r>
      <w:r w:rsidR="004708EE">
        <w:rPr>
          <w:szCs w:val="24"/>
        </w:rPr>
        <w:t xml:space="preserve"> substantially related to serving voters’ important interest in </w:t>
      </w:r>
      <w:r w:rsidR="007F0067">
        <w:rPr>
          <w:szCs w:val="24"/>
        </w:rPr>
        <w:t xml:space="preserve">electoral </w:t>
      </w:r>
      <w:r w:rsidR="004708EE">
        <w:rPr>
          <w:szCs w:val="24"/>
        </w:rPr>
        <w:t xml:space="preserve">transparency, </w:t>
      </w:r>
      <w:r w:rsidR="004708EE">
        <w:rPr>
          <w:i/>
          <w:szCs w:val="24"/>
        </w:rPr>
        <w:t>see McConnell</w:t>
      </w:r>
      <w:r w:rsidR="004708EE">
        <w:rPr>
          <w:szCs w:val="24"/>
        </w:rPr>
        <w:t xml:space="preserve">, 540 U.S. at 194, 196–97 (finding the definition of electioneering communication was not vague and </w:t>
      </w:r>
      <w:r w:rsidR="006432F7">
        <w:rPr>
          <w:szCs w:val="24"/>
        </w:rPr>
        <w:t>disclosure</w:t>
      </w:r>
      <w:r w:rsidR="003B7AF7">
        <w:rPr>
          <w:szCs w:val="24"/>
        </w:rPr>
        <w:t xml:space="preserve"> triggered by the ads</w:t>
      </w:r>
      <w:r w:rsidR="004708EE">
        <w:rPr>
          <w:szCs w:val="24"/>
        </w:rPr>
        <w:t xml:space="preserve"> was substantially related to voters’ interest in transparency)</w:t>
      </w:r>
      <w:r w:rsidR="006432F7">
        <w:rPr>
          <w:szCs w:val="24"/>
        </w:rPr>
        <w:t>.</w:t>
      </w:r>
      <w:r w:rsidR="004708EE">
        <w:rPr>
          <w:rStyle w:val="FootnoteReference"/>
          <w:szCs w:val="24"/>
        </w:rPr>
        <w:footnoteReference w:id="9"/>
      </w:r>
      <w:r w:rsidR="006432F7">
        <w:rPr>
          <w:szCs w:val="24"/>
        </w:rPr>
        <w:t xml:space="preserve">  </w:t>
      </w:r>
    </w:p>
    <w:p w14:paraId="7D79D350" w14:textId="07B842BD" w:rsidR="00C11C39" w:rsidRPr="00E37DAF" w:rsidRDefault="00C426DF" w:rsidP="000E4317">
      <w:pPr>
        <w:spacing w:line="480" w:lineRule="auto"/>
        <w:ind w:firstLine="720"/>
        <w:rPr>
          <w:szCs w:val="24"/>
        </w:rPr>
      </w:pPr>
      <w:r>
        <w:rPr>
          <w:szCs w:val="24"/>
        </w:rPr>
        <w:t xml:space="preserve">Conforming </w:t>
      </w:r>
      <w:proofErr w:type="gramStart"/>
      <w:r>
        <w:rPr>
          <w:szCs w:val="24"/>
        </w:rPr>
        <w:t>with</w:t>
      </w:r>
      <w:proofErr w:type="gramEnd"/>
      <w:r>
        <w:rPr>
          <w:szCs w:val="24"/>
        </w:rPr>
        <w:t xml:space="preserve"> Congress’s conclusion that all ads that meet the narrow definition of an electioneering communication are election-related is not </w:t>
      </w:r>
      <w:r w:rsidR="00E37DAF">
        <w:rPr>
          <w:szCs w:val="24"/>
        </w:rPr>
        <w:t>inconsist</w:t>
      </w:r>
      <w:r>
        <w:rPr>
          <w:szCs w:val="24"/>
        </w:rPr>
        <w:t>ent</w:t>
      </w:r>
      <w:r w:rsidR="00E37DAF">
        <w:rPr>
          <w:szCs w:val="24"/>
        </w:rPr>
        <w:t xml:space="preserve"> with </w:t>
      </w:r>
      <w:r w:rsidR="00133E41">
        <w:rPr>
          <w:szCs w:val="24"/>
        </w:rPr>
        <w:t xml:space="preserve">the FEC’s </w:t>
      </w:r>
      <w:r w:rsidR="00133E41" w:rsidRPr="00133E41">
        <w:rPr>
          <w:szCs w:val="24"/>
        </w:rPr>
        <w:t>“case-by-case, fact-intensive approach” to applying</w:t>
      </w:r>
      <w:r w:rsidR="00133E41">
        <w:rPr>
          <w:szCs w:val="24"/>
        </w:rPr>
        <w:t xml:space="preserve"> </w:t>
      </w:r>
      <w:r w:rsidR="00133E41" w:rsidRPr="00C04CBB">
        <w:rPr>
          <w:i/>
          <w:szCs w:val="24"/>
        </w:rPr>
        <w:t>Buckley</w:t>
      </w:r>
      <w:r w:rsidR="00133E41">
        <w:rPr>
          <w:szCs w:val="24"/>
        </w:rPr>
        <w:t>’s “major purpose” test</w:t>
      </w:r>
      <w:r w:rsidR="00C514CF">
        <w:rPr>
          <w:szCs w:val="24"/>
        </w:rPr>
        <w:t xml:space="preserve"> through adjudication.</w:t>
      </w:r>
      <w:r w:rsidR="00133E41">
        <w:rPr>
          <w:szCs w:val="24"/>
        </w:rPr>
        <w:t xml:space="preserve"> </w:t>
      </w:r>
      <w:r w:rsidR="00C514CF">
        <w:rPr>
          <w:szCs w:val="24"/>
        </w:rPr>
        <w:t xml:space="preserve"> </w:t>
      </w:r>
      <w:r w:rsidR="00C514CF">
        <w:rPr>
          <w:i/>
          <w:szCs w:val="24"/>
        </w:rPr>
        <w:t xml:space="preserve">Cf. </w:t>
      </w:r>
      <w:r w:rsidR="00133E41" w:rsidRPr="00133E41">
        <w:rPr>
          <w:szCs w:val="24"/>
        </w:rPr>
        <w:t>Ex. 2 at 5</w:t>
      </w:r>
      <w:r w:rsidR="00E37DAF">
        <w:rPr>
          <w:szCs w:val="24"/>
        </w:rPr>
        <w:t xml:space="preserve">.  </w:t>
      </w:r>
      <w:r w:rsidR="005F5CDF">
        <w:rPr>
          <w:szCs w:val="24"/>
        </w:rPr>
        <w:t>R</w:t>
      </w:r>
      <w:r w:rsidR="00F71CC2">
        <w:rPr>
          <w:szCs w:val="24"/>
        </w:rPr>
        <w:t xml:space="preserve">ecognizing the electoral purposes </w:t>
      </w:r>
      <w:r w:rsidR="005F5CDF">
        <w:rPr>
          <w:szCs w:val="24"/>
        </w:rPr>
        <w:t xml:space="preserve">of </w:t>
      </w:r>
      <w:r w:rsidR="00F71CC2">
        <w:rPr>
          <w:szCs w:val="24"/>
        </w:rPr>
        <w:t xml:space="preserve">electioneering communications would </w:t>
      </w:r>
      <w:r w:rsidR="005F5CDF">
        <w:rPr>
          <w:szCs w:val="24"/>
        </w:rPr>
        <w:t xml:space="preserve">not </w:t>
      </w:r>
      <w:r w:rsidR="00F71CC2">
        <w:rPr>
          <w:szCs w:val="24"/>
        </w:rPr>
        <w:t xml:space="preserve">require the agency to engage in </w:t>
      </w:r>
      <w:r w:rsidR="00C514CF">
        <w:rPr>
          <w:szCs w:val="24"/>
        </w:rPr>
        <w:t xml:space="preserve">rulemaking </w:t>
      </w:r>
      <w:r w:rsidR="00F71CC2">
        <w:rPr>
          <w:szCs w:val="24"/>
        </w:rPr>
        <w:t xml:space="preserve">or supplant its adjudicative process. </w:t>
      </w:r>
      <w:r w:rsidR="00E1555E">
        <w:rPr>
          <w:szCs w:val="24"/>
        </w:rPr>
        <w:t xml:space="preserve"> </w:t>
      </w:r>
      <w:r w:rsidR="00E1555E">
        <w:rPr>
          <w:i/>
          <w:szCs w:val="24"/>
        </w:rPr>
        <w:t>See</w:t>
      </w:r>
      <w:r w:rsidR="00F71CC2">
        <w:rPr>
          <w:szCs w:val="24"/>
        </w:rPr>
        <w:t xml:space="preserve"> </w:t>
      </w:r>
      <w:r w:rsidR="00F71CC2" w:rsidRPr="00AA0BE7">
        <w:rPr>
          <w:i/>
          <w:szCs w:val="24"/>
        </w:rPr>
        <w:t>Shays</w:t>
      </w:r>
      <w:r w:rsidR="00AA0BE7" w:rsidRPr="00AA0BE7">
        <w:rPr>
          <w:i/>
          <w:szCs w:val="24"/>
        </w:rPr>
        <w:t xml:space="preserve"> v. FEC</w:t>
      </w:r>
      <w:r w:rsidR="00AA0BE7" w:rsidRPr="00AA0BE7">
        <w:rPr>
          <w:szCs w:val="24"/>
        </w:rPr>
        <w:t>, 511 F. Supp. 2d 19,</w:t>
      </w:r>
      <w:r w:rsidR="00F71CC2" w:rsidRPr="00AA0BE7">
        <w:rPr>
          <w:szCs w:val="24"/>
        </w:rPr>
        <w:t xml:space="preserve"> 3</w:t>
      </w:r>
      <w:r w:rsidR="00AA0BE7" w:rsidRPr="00AA0BE7">
        <w:rPr>
          <w:szCs w:val="24"/>
        </w:rPr>
        <w:t>1 (D.D.C. 2007)</w:t>
      </w:r>
      <w:r w:rsidR="00F71CC2" w:rsidRPr="00AA0BE7">
        <w:rPr>
          <w:szCs w:val="24"/>
        </w:rPr>
        <w:t xml:space="preserve"> (</w:t>
      </w:r>
      <w:r w:rsidR="00F71CC2">
        <w:rPr>
          <w:szCs w:val="24"/>
        </w:rPr>
        <w:t xml:space="preserve">rejecting argument that FEC must </w:t>
      </w:r>
      <w:r w:rsidR="00C514CF">
        <w:rPr>
          <w:szCs w:val="24"/>
        </w:rPr>
        <w:t xml:space="preserve">apply “major purpose” test through </w:t>
      </w:r>
      <w:r w:rsidR="00F71CC2">
        <w:rPr>
          <w:szCs w:val="24"/>
        </w:rPr>
        <w:t>rulemaking</w:t>
      </w:r>
      <w:r w:rsidR="00E1555E">
        <w:rPr>
          <w:szCs w:val="24"/>
        </w:rPr>
        <w:t xml:space="preserve">); </w:t>
      </w:r>
      <w:r w:rsidR="00E1555E" w:rsidRPr="00F646C3">
        <w:rPr>
          <w:szCs w:val="24"/>
          <w:u w:val="single"/>
        </w:rPr>
        <w:t xml:space="preserve">2007 </w:t>
      </w:r>
      <w:r w:rsidR="00E1555E" w:rsidRPr="00795894">
        <w:rPr>
          <w:szCs w:val="24"/>
          <w:u w:val="single"/>
        </w:rPr>
        <w:t>Suppl</w:t>
      </w:r>
      <w:r w:rsidR="00E1555E">
        <w:rPr>
          <w:szCs w:val="24"/>
          <w:u w:val="single"/>
        </w:rPr>
        <w:t>. E&amp;J</w:t>
      </w:r>
      <w:r w:rsidR="00E1555E" w:rsidRPr="00AA0BE7">
        <w:rPr>
          <w:szCs w:val="24"/>
        </w:rPr>
        <w:t xml:space="preserve">, 72 Fed. Reg. </w:t>
      </w:r>
      <w:r w:rsidR="00E1555E">
        <w:rPr>
          <w:szCs w:val="24"/>
        </w:rPr>
        <w:t>at</w:t>
      </w:r>
      <w:r w:rsidR="00ED4194">
        <w:rPr>
          <w:szCs w:val="24"/>
        </w:rPr>
        <w:t xml:space="preserve"> </w:t>
      </w:r>
      <w:r w:rsidR="00E1555E" w:rsidRPr="00AA0BE7">
        <w:rPr>
          <w:szCs w:val="24"/>
        </w:rPr>
        <w:t>5,597</w:t>
      </w:r>
      <w:r w:rsidR="00E1555E">
        <w:rPr>
          <w:szCs w:val="24"/>
        </w:rPr>
        <w:t xml:space="preserve"> (same</w:t>
      </w:r>
      <w:r w:rsidR="00F71CC2">
        <w:rPr>
          <w:szCs w:val="24"/>
        </w:rPr>
        <w:t xml:space="preserve">).  </w:t>
      </w:r>
      <w:r w:rsidR="005F5CDF">
        <w:rPr>
          <w:szCs w:val="24"/>
        </w:rPr>
        <w:t xml:space="preserve">After all, the FEC already </w:t>
      </w:r>
      <w:r w:rsidR="00DF3FAC">
        <w:rPr>
          <w:szCs w:val="24"/>
        </w:rPr>
        <w:t xml:space="preserve">treats all </w:t>
      </w:r>
      <w:r w:rsidR="00373615">
        <w:rPr>
          <w:szCs w:val="24"/>
        </w:rPr>
        <w:t>express advocacy advertisements as election-related</w:t>
      </w:r>
      <w:r w:rsidR="00DF3FAC">
        <w:rPr>
          <w:szCs w:val="24"/>
        </w:rPr>
        <w:t xml:space="preserve">, applying a </w:t>
      </w:r>
      <w:r w:rsidR="00373615">
        <w:rPr>
          <w:szCs w:val="24"/>
        </w:rPr>
        <w:t xml:space="preserve">“rule” </w:t>
      </w:r>
      <w:r>
        <w:rPr>
          <w:szCs w:val="24"/>
        </w:rPr>
        <w:t xml:space="preserve">as part of </w:t>
      </w:r>
      <w:r w:rsidR="00373615">
        <w:rPr>
          <w:szCs w:val="24"/>
        </w:rPr>
        <w:t xml:space="preserve">with a </w:t>
      </w:r>
      <w:r w:rsidR="00A21344">
        <w:rPr>
          <w:szCs w:val="24"/>
        </w:rPr>
        <w:t xml:space="preserve">fact-intensive </w:t>
      </w:r>
      <w:r w:rsidR="00C514CF">
        <w:rPr>
          <w:szCs w:val="24"/>
        </w:rPr>
        <w:t xml:space="preserve">adjudicative </w:t>
      </w:r>
      <w:r w:rsidR="00A21344">
        <w:rPr>
          <w:szCs w:val="24"/>
        </w:rPr>
        <w:t>approach</w:t>
      </w:r>
      <w:r w:rsidR="00E37DAF">
        <w:rPr>
          <w:szCs w:val="24"/>
        </w:rPr>
        <w:t xml:space="preserve">.  </w:t>
      </w:r>
      <w:r w:rsidR="00B21A67">
        <w:rPr>
          <w:szCs w:val="24"/>
        </w:rPr>
        <w:t>T</w:t>
      </w:r>
      <w:r w:rsidR="00E37DAF">
        <w:rPr>
          <w:szCs w:val="24"/>
        </w:rPr>
        <w:t xml:space="preserve">he existence of election-related ads are just facts that the FEC must consider </w:t>
      </w:r>
      <w:r>
        <w:rPr>
          <w:szCs w:val="24"/>
        </w:rPr>
        <w:t xml:space="preserve">in deciding whether a </w:t>
      </w:r>
      <w:r w:rsidR="00E37DAF">
        <w:rPr>
          <w:szCs w:val="24"/>
        </w:rPr>
        <w:t xml:space="preserve">group’s major purpose is to nominate or elect candidates.  </w:t>
      </w:r>
      <w:r w:rsidR="00AF5735">
        <w:rPr>
          <w:szCs w:val="24"/>
        </w:rPr>
        <w:t xml:space="preserve">The FEC </w:t>
      </w:r>
      <w:r w:rsidR="003338A0">
        <w:rPr>
          <w:szCs w:val="24"/>
        </w:rPr>
        <w:t xml:space="preserve">would </w:t>
      </w:r>
      <w:r w:rsidR="00AF5735">
        <w:rPr>
          <w:szCs w:val="24"/>
        </w:rPr>
        <w:t xml:space="preserve">still </w:t>
      </w:r>
      <w:r w:rsidR="003338A0">
        <w:rPr>
          <w:szCs w:val="24"/>
        </w:rPr>
        <w:t xml:space="preserve">need to </w:t>
      </w:r>
      <w:r w:rsidR="00AF5735">
        <w:rPr>
          <w:szCs w:val="24"/>
        </w:rPr>
        <w:t>engage in a fact-intensive analysis to determine</w:t>
      </w:r>
      <w:r>
        <w:rPr>
          <w:szCs w:val="24"/>
        </w:rPr>
        <w:t xml:space="preserve"> </w:t>
      </w:r>
      <w:r w:rsidR="00AF5735">
        <w:rPr>
          <w:szCs w:val="24"/>
        </w:rPr>
        <w:t xml:space="preserve">the </w:t>
      </w:r>
      <w:r w:rsidR="00DF3FAC">
        <w:rPr>
          <w:szCs w:val="24"/>
        </w:rPr>
        <w:t xml:space="preserve">sums </w:t>
      </w:r>
      <w:r w:rsidR="00AF5735">
        <w:rPr>
          <w:szCs w:val="24"/>
        </w:rPr>
        <w:t xml:space="preserve">spent on the group’s express advocacy </w:t>
      </w:r>
      <w:r w:rsidR="00401A13">
        <w:rPr>
          <w:szCs w:val="24"/>
        </w:rPr>
        <w:t>an</w:t>
      </w:r>
      <w:r w:rsidR="00AF5735">
        <w:rPr>
          <w:szCs w:val="24"/>
        </w:rPr>
        <w:t xml:space="preserve">d electioneering communications </w:t>
      </w:r>
      <w:r>
        <w:rPr>
          <w:szCs w:val="24"/>
        </w:rPr>
        <w:t>and compare a group’s election-related spending that to its total spending</w:t>
      </w:r>
      <w:r w:rsidR="00C47307">
        <w:rPr>
          <w:szCs w:val="24"/>
        </w:rPr>
        <w:t>.</w:t>
      </w:r>
      <w:r>
        <w:rPr>
          <w:szCs w:val="24"/>
        </w:rPr>
        <w:t xml:space="preserve">  </w:t>
      </w:r>
      <w:r w:rsidR="00C47307">
        <w:rPr>
          <w:szCs w:val="24"/>
        </w:rPr>
        <w:t xml:space="preserve">The FEC also may need to consider other facts on a case-by-case basis, including </w:t>
      </w:r>
      <w:r w:rsidR="00DF3FAC">
        <w:rPr>
          <w:szCs w:val="24"/>
        </w:rPr>
        <w:t xml:space="preserve">whether other ads </w:t>
      </w:r>
      <w:r w:rsidR="00276AC7">
        <w:rPr>
          <w:szCs w:val="24"/>
        </w:rPr>
        <w:t>(such as non-express advocacy ads that promote, attack, support, or oppose candidate</w:t>
      </w:r>
      <w:r w:rsidR="00DF3FAC">
        <w:rPr>
          <w:szCs w:val="24"/>
        </w:rPr>
        <w:t xml:space="preserve"> </w:t>
      </w:r>
      <w:r w:rsidR="00276AC7">
        <w:rPr>
          <w:szCs w:val="24"/>
        </w:rPr>
        <w:t xml:space="preserve">outside of the electioneering communications windows) are election-related, whether contributions to political committees or other groups that engage </w:t>
      </w:r>
      <w:r w:rsidR="003338A0">
        <w:rPr>
          <w:szCs w:val="24"/>
        </w:rPr>
        <w:t>i</w:t>
      </w:r>
      <w:r w:rsidR="00276AC7">
        <w:rPr>
          <w:szCs w:val="24"/>
        </w:rPr>
        <w:t>n political activity are election-related, whether and how to count voter registration and get-out-the-vote activity, whether and how to count time spent by volunteers</w:t>
      </w:r>
      <w:r w:rsidR="00C47307">
        <w:rPr>
          <w:szCs w:val="24"/>
        </w:rPr>
        <w:t xml:space="preserve">, and the relevance of a group’s </w:t>
      </w:r>
      <w:r w:rsidR="00AF5735">
        <w:rPr>
          <w:szCs w:val="24"/>
        </w:rPr>
        <w:t xml:space="preserve">public and private statements about its mission and goals. </w:t>
      </w:r>
      <w:r w:rsidR="00B21A67">
        <w:rPr>
          <w:szCs w:val="24"/>
        </w:rPr>
        <w:t xml:space="preserve"> </w:t>
      </w:r>
      <w:r w:rsidR="00276AC7">
        <w:rPr>
          <w:szCs w:val="24"/>
        </w:rPr>
        <w:t>Accordingly, t</w:t>
      </w:r>
      <w:r w:rsidR="00B21A67">
        <w:rPr>
          <w:szCs w:val="24"/>
        </w:rPr>
        <w:t xml:space="preserve">here is nothing inconsistent between the FEC’s fact-intensive case-by-case method and agreeing with Congress </w:t>
      </w:r>
      <w:r w:rsidR="00C47307">
        <w:rPr>
          <w:szCs w:val="24"/>
        </w:rPr>
        <w:t xml:space="preserve">and the Supreme Court </w:t>
      </w:r>
      <w:r w:rsidR="00B21A67">
        <w:rPr>
          <w:szCs w:val="24"/>
        </w:rPr>
        <w:t>that electioneering communi</w:t>
      </w:r>
      <w:r w:rsidR="00C04CBB">
        <w:rPr>
          <w:szCs w:val="24"/>
        </w:rPr>
        <w:t>cations are electoral in nature.</w:t>
      </w:r>
      <w:r w:rsidR="00401A13">
        <w:rPr>
          <w:szCs w:val="24"/>
        </w:rPr>
        <w:t xml:space="preserve">  </w:t>
      </w:r>
    </w:p>
    <w:p w14:paraId="0B81B226" w14:textId="0E978B03" w:rsidR="000B129E" w:rsidRPr="00C514CF" w:rsidRDefault="001F6F72" w:rsidP="00E019C7">
      <w:pPr>
        <w:spacing w:line="480" w:lineRule="auto"/>
        <w:ind w:firstLine="720"/>
        <w:rPr>
          <w:szCs w:val="24"/>
        </w:rPr>
      </w:pPr>
      <w:r>
        <w:rPr>
          <w:szCs w:val="24"/>
        </w:rPr>
        <w:t xml:space="preserve">Indeed, </w:t>
      </w:r>
      <w:r w:rsidR="00C04CBB">
        <w:rPr>
          <w:szCs w:val="24"/>
        </w:rPr>
        <w:t xml:space="preserve">it </w:t>
      </w:r>
      <w:r w:rsidR="0053418A">
        <w:rPr>
          <w:szCs w:val="24"/>
        </w:rPr>
        <w:t xml:space="preserve">is not </w:t>
      </w:r>
      <w:r w:rsidR="00C04CBB">
        <w:rPr>
          <w:szCs w:val="24"/>
        </w:rPr>
        <w:t>contrary to</w:t>
      </w:r>
      <w:r w:rsidR="00100D34">
        <w:rPr>
          <w:szCs w:val="24"/>
        </w:rPr>
        <w:t xml:space="preserve"> </w:t>
      </w:r>
      <w:r w:rsidR="00100D34">
        <w:rPr>
          <w:i/>
          <w:szCs w:val="24"/>
        </w:rPr>
        <w:t>Buckley</w:t>
      </w:r>
      <w:r w:rsidR="00100D34">
        <w:rPr>
          <w:szCs w:val="24"/>
        </w:rPr>
        <w:t xml:space="preserve"> to treat groups that engage in extensive electioneering communications as having </w:t>
      </w:r>
      <w:r w:rsidR="00052CD3">
        <w:rPr>
          <w:szCs w:val="24"/>
        </w:rPr>
        <w:t xml:space="preserve">as their major purpose the election </w:t>
      </w:r>
      <w:r w:rsidR="00100D34">
        <w:rPr>
          <w:szCs w:val="24"/>
        </w:rPr>
        <w:t>or nominat</w:t>
      </w:r>
      <w:r w:rsidR="00052CD3">
        <w:rPr>
          <w:szCs w:val="24"/>
        </w:rPr>
        <w:t>ion of</w:t>
      </w:r>
      <w:r w:rsidR="00100D34">
        <w:rPr>
          <w:szCs w:val="24"/>
        </w:rPr>
        <w:t xml:space="preserve"> candidates.  </w:t>
      </w:r>
      <w:r w:rsidR="002B44AD">
        <w:rPr>
          <w:i/>
          <w:szCs w:val="24"/>
        </w:rPr>
        <w:t>Buckley</w:t>
      </w:r>
      <w:r w:rsidR="002B44AD">
        <w:rPr>
          <w:szCs w:val="24"/>
        </w:rPr>
        <w:t xml:space="preserve"> </w:t>
      </w:r>
      <w:r w:rsidR="00C04CBB">
        <w:rPr>
          <w:szCs w:val="24"/>
        </w:rPr>
        <w:t xml:space="preserve">only </w:t>
      </w:r>
      <w:r w:rsidR="002B44AD">
        <w:rPr>
          <w:szCs w:val="24"/>
        </w:rPr>
        <w:t xml:space="preserve">excluded from the reach of the FECA’s political committee rules those groups that were so insufficiently political that regulating them would not “fulfill the purposes of the act.”  </w:t>
      </w:r>
      <w:r w:rsidR="008463C7">
        <w:rPr>
          <w:i/>
          <w:szCs w:val="24"/>
        </w:rPr>
        <w:t xml:space="preserve">Buckley v. </w:t>
      </w:r>
      <w:proofErr w:type="spellStart"/>
      <w:r w:rsidR="008463C7" w:rsidRPr="008463C7">
        <w:rPr>
          <w:i/>
          <w:szCs w:val="24"/>
        </w:rPr>
        <w:t>Valeo</w:t>
      </w:r>
      <w:proofErr w:type="spellEnd"/>
      <w:r w:rsidR="008463C7">
        <w:rPr>
          <w:szCs w:val="24"/>
        </w:rPr>
        <w:t xml:space="preserve">, </w:t>
      </w:r>
      <w:r w:rsidR="002B44AD" w:rsidRPr="008463C7">
        <w:rPr>
          <w:szCs w:val="24"/>
        </w:rPr>
        <w:t>424</w:t>
      </w:r>
      <w:r w:rsidR="002B44AD">
        <w:rPr>
          <w:szCs w:val="24"/>
        </w:rPr>
        <w:t xml:space="preserve"> U.S. </w:t>
      </w:r>
      <w:r w:rsidR="008463C7">
        <w:rPr>
          <w:szCs w:val="24"/>
        </w:rPr>
        <w:t>1,</w:t>
      </w:r>
      <w:r w:rsidR="002B44AD">
        <w:rPr>
          <w:szCs w:val="24"/>
        </w:rPr>
        <w:t xml:space="preserve"> 79</w:t>
      </w:r>
      <w:r w:rsidR="008463C7">
        <w:rPr>
          <w:szCs w:val="24"/>
        </w:rPr>
        <w:t xml:space="preserve"> (1976)</w:t>
      </w:r>
      <w:r w:rsidR="002B44AD">
        <w:rPr>
          <w:szCs w:val="24"/>
        </w:rPr>
        <w:t xml:space="preserve">. </w:t>
      </w:r>
      <w:r w:rsidR="00E019C7">
        <w:rPr>
          <w:szCs w:val="24"/>
        </w:rPr>
        <w:t xml:space="preserve"> </w:t>
      </w:r>
      <w:r w:rsidR="00E019C7">
        <w:rPr>
          <w:i/>
          <w:szCs w:val="24"/>
        </w:rPr>
        <w:t>Buckley</w:t>
      </w:r>
      <w:r w:rsidR="00E019C7">
        <w:rPr>
          <w:szCs w:val="24"/>
        </w:rPr>
        <w:t xml:space="preserve"> </w:t>
      </w:r>
      <w:r w:rsidR="00151954">
        <w:rPr>
          <w:szCs w:val="24"/>
        </w:rPr>
        <w:t xml:space="preserve">therefore </w:t>
      </w:r>
      <w:r w:rsidR="00E019C7">
        <w:rPr>
          <w:szCs w:val="24"/>
        </w:rPr>
        <w:t>ask</w:t>
      </w:r>
      <w:r w:rsidR="003338A0">
        <w:rPr>
          <w:szCs w:val="24"/>
        </w:rPr>
        <w:t>ed</w:t>
      </w:r>
      <w:r w:rsidR="00E019C7">
        <w:rPr>
          <w:szCs w:val="24"/>
        </w:rPr>
        <w:t xml:space="preserve"> what groups should </w:t>
      </w:r>
      <w:r w:rsidR="00E019C7">
        <w:rPr>
          <w:i/>
          <w:szCs w:val="24"/>
        </w:rPr>
        <w:t xml:space="preserve">not </w:t>
      </w:r>
      <w:r w:rsidR="00E019C7">
        <w:rPr>
          <w:szCs w:val="24"/>
        </w:rPr>
        <w:t>be considered to be political committee</w:t>
      </w:r>
      <w:r w:rsidR="0053418A">
        <w:rPr>
          <w:szCs w:val="24"/>
        </w:rPr>
        <w:t>s</w:t>
      </w:r>
      <w:r w:rsidR="00E019C7">
        <w:rPr>
          <w:szCs w:val="24"/>
        </w:rPr>
        <w:t xml:space="preserve"> despite meeting the congressionally</w:t>
      </w:r>
      <w:r w:rsidR="0053418A">
        <w:rPr>
          <w:szCs w:val="24"/>
        </w:rPr>
        <w:t>-</w:t>
      </w:r>
      <w:r w:rsidR="00E019C7">
        <w:rPr>
          <w:szCs w:val="24"/>
        </w:rPr>
        <w:t xml:space="preserve">approved </w:t>
      </w:r>
      <w:r w:rsidR="0053418A">
        <w:rPr>
          <w:szCs w:val="24"/>
        </w:rPr>
        <w:t>tests</w:t>
      </w:r>
      <w:r w:rsidR="00E019C7">
        <w:rPr>
          <w:szCs w:val="24"/>
        </w:rPr>
        <w:t xml:space="preserve">.  </w:t>
      </w:r>
      <w:r w:rsidR="00E019C7">
        <w:rPr>
          <w:i/>
          <w:szCs w:val="24"/>
        </w:rPr>
        <w:t xml:space="preserve">Buckley </w:t>
      </w:r>
      <w:r w:rsidR="00E019C7">
        <w:rPr>
          <w:szCs w:val="24"/>
        </w:rPr>
        <w:t>call</w:t>
      </w:r>
      <w:r w:rsidR="00AB24F6">
        <w:rPr>
          <w:szCs w:val="24"/>
        </w:rPr>
        <w:t>ed</w:t>
      </w:r>
      <w:r w:rsidR="00E019C7">
        <w:rPr>
          <w:szCs w:val="24"/>
        </w:rPr>
        <w:t xml:space="preserve"> on the FEC to evaluate whether a group’s activities justify </w:t>
      </w:r>
      <w:r w:rsidR="00E019C7">
        <w:rPr>
          <w:i/>
          <w:szCs w:val="24"/>
        </w:rPr>
        <w:t>denying</w:t>
      </w:r>
      <w:r w:rsidR="00E019C7">
        <w:rPr>
          <w:szCs w:val="24"/>
        </w:rPr>
        <w:t xml:space="preserve"> voters the statutor</w:t>
      </w:r>
      <w:r w:rsidR="0053418A">
        <w:rPr>
          <w:szCs w:val="24"/>
        </w:rPr>
        <w:t>il</w:t>
      </w:r>
      <w:r w:rsidR="00E019C7">
        <w:rPr>
          <w:szCs w:val="24"/>
        </w:rPr>
        <w:t>y authorized transparency to which they would otherwise be entitled.</w:t>
      </w:r>
      <w:r w:rsidR="00C514CF">
        <w:rPr>
          <w:szCs w:val="24"/>
        </w:rPr>
        <w:t xml:space="preserve">  Clearly, nothing in </w:t>
      </w:r>
      <w:r w:rsidR="00C514CF">
        <w:rPr>
          <w:i/>
          <w:szCs w:val="24"/>
        </w:rPr>
        <w:t>Buckley</w:t>
      </w:r>
      <w:r w:rsidR="00C514CF">
        <w:rPr>
          <w:szCs w:val="24"/>
        </w:rPr>
        <w:t xml:space="preserve"> would require the FEC to deny voters the transparency to which they would be entitled simply because an organization runs ads that Congress has deemed, with the Court’s approval, to be designed to influence elections and that trigger disclosure in their own right.  </w:t>
      </w:r>
    </w:p>
    <w:p w14:paraId="49D38C66" w14:textId="264A7DF5" w:rsidR="00030101" w:rsidRDefault="0049633D" w:rsidP="001F6F72">
      <w:pPr>
        <w:spacing w:line="480" w:lineRule="auto"/>
        <w:ind w:firstLine="720"/>
        <w:rPr>
          <w:szCs w:val="24"/>
        </w:rPr>
      </w:pPr>
      <w:r>
        <w:rPr>
          <w:szCs w:val="24"/>
        </w:rPr>
        <w:t>T</w:t>
      </w:r>
      <w:r w:rsidR="000B129E">
        <w:rPr>
          <w:szCs w:val="24"/>
        </w:rPr>
        <w:t>h</w:t>
      </w:r>
      <w:r w:rsidR="00052CD3">
        <w:rPr>
          <w:szCs w:val="24"/>
        </w:rPr>
        <w:t>e controlling commissioners</w:t>
      </w:r>
      <w:r w:rsidR="00437BD3">
        <w:rPr>
          <w:szCs w:val="24"/>
        </w:rPr>
        <w:t>, however,</w:t>
      </w:r>
      <w:r w:rsidR="00052CD3">
        <w:rPr>
          <w:szCs w:val="24"/>
        </w:rPr>
        <w:t xml:space="preserve"> continue to interpret </w:t>
      </w:r>
      <w:r w:rsidR="00052CD3" w:rsidRPr="00052CD3">
        <w:rPr>
          <w:i/>
          <w:szCs w:val="24"/>
        </w:rPr>
        <w:t>Buckley</w:t>
      </w:r>
      <w:r w:rsidR="00052CD3">
        <w:rPr>
          <w:szCs w:val="24"/>
        </w:rPr>
        <w:t xml:space="preserve"> and this Court’s Order to require otherwise</w:t>
      </w:r>
      <w:r w:rsidR="00437BD3">
        <w:rPr>
          <w:szCs w:val="24"/>
        </w:rPr>
        <w:t>,</w:t>
      </w:r>
      <w:r w:rsidR="00052CD3">
        <w:rPr>
          <w:szCs w:val="24"/>
        </w:rPr>
        <w:t xml:space="preserve"> propos</w:t>
      </w:r>
      <w:r w:rsidR="00437BD3">
        <w:rPr>
          <w:szCs w:val="24"/>
        </w:rPr>
        <w:t>ing</w:t>
      </w:r>
      <w:r w:rsidR="00052CD3">
        <w:rPr>
          <w:szCs w:val="24"/>
        </w:rPr>
        <w:t xml:space="preserve"> a test that </w:t>
      </w:r>
      <w:r w:rsidR="00437BD3">
        <w:rPr>
          <w:szCs w:val="24"/>
        </w:rPr>
        <w:t xml:space="preserve">actually </w:t>
      </w:r>
      <w:r w:rsidR="00052CD3">
        <w:rPr>
          <w:szCs w:val="24"/>
        </w:rPr>
        <w:t xml:space="preserve">would deny voters transparency </w:t>
      </w:r>
      <w:r w:rsidR="00052CD3">
        <w:rPr>
          <w:i/>
          <w:szCs w:val="24"/>
        </w:rPr>
        <w:t>because</w:t>
      </w:r>
      <w:r w:rsidR="00052CD3">
        <w:rPr>
          <w:szCs w:val="24"/>
        </w:rPr>
        <w:t xml:space="preserve"> the group runs electioneering communications.  </w:t>
      </w:r>
      <w:r w:rsidR="0045503F">
        <w:rPr>
          <w:szCs w:val="24"/>
        </w:rPr>
        <w:t>Under their</w:t>
      </w:r>
      <w:r w:rsidR="003240F3">
        <w:rPr>
          <w:szCs w:val="24"/>
        </w:rPr>
        <w:t xml:space="preserve"> test, a group can dilute </w:t>
      </w:r>
      <w:r w:rsidR="0045503F">
        <w:rPr>
          <w:szCs w:val="24"/>
        </w:rPr>
        <w:t>its</w:t>
      </w:r>
      <w:r w:rsidR="003240F3">
        <w:rPr>
          <w:szCs w:val="24"/>
        </w:rPr>
        <w:t xml:space="preserve"> express advocacy </w:t>
      </w:r>
      <w:r w:rsidR="000D636A">
        <w:rPr>
          <w:szCs w:val="24"/>
        </w:rPr>
        <w:t>and</w:t>
      </w:r>
      <w:r w:rsidR="003240F3">
        <w:rPr>
          <w:szCs w:val="24"/>
        </w:rPr>
        <w:t xml:space="preserve"> other election-related expenses by running electioneering communication</w:t>
      </w:r>
      <w:r w:rsidR="0053418A">
        <w:rPr>
          <w:szCs w:val="24"/>
        </w:rPr>
        <w:t>s</w:t>
      </w:r>
      <w:r w:rsidR="003240F3">
        <w:rPr>
          <w:szCs w:val="24"/>
        </w:rPr>
        <w:t xml:space="preserve"> (at least one</w:t>
      </w:r>
      <w:r w:rsidR="00795894">
        <w:rPr>
          <w:szCs w:val="24"/>
        </w:rPr>
        <w:t>s that mention a bill and ask</w:t>
      </w:r>
      <w:r w:rsidR="003240F3">
        <w:rPr>
          <w:szCs w:val="24"/>
        </w:rPr>
        <w:t xml:space="preserve"> viewers to call their representative), thereby increasing </w:t>
      </w:r>
      <w:r>
        <w:rPr>
          <w:szCs w:val="24"/>
        </w:rPr>
        <w:t xml:space="preserve">its </w:t>
      </w:r>
      <w:r w:rsidR="003240F3">
        <w:rPr>
          <w:szCs w:val="24"/>
        </w:rPr>
        <w:t xml:space="preserve">total expenses without increasing </w:t>
      </w:r>
      <w:r>
        <w:rPr>
          <w:szCs w:val="24"/>
        </w:rPr>
        <w:t xml:space="preserve">its </w:t>
      </w:r>
      <w:r w:rsidR="003240F3">
        <w:rPr>
          <w:szCs w:val="24"/>
        </w:rPr>
        <w:t>share of election</w:t>
      </w:r>
      <w:r w:rsidR="00795894">
        <w:rPr>
          <w:szCs w:val="24"/>
        </w:rPr>
        <w:t>-</w:t>
      </w:r>
      <w:r w:rsidR="003240F3">
        <w:rPr>
          <w:szCs w:val="24"/>
        </w:rPr>
        <w:t>related spending</w:t>
      </w:r>
      <w:r w:rsidR="00437BD3">
        <w:rPr>
          <w:szCs w:val="24"/>
        </w:rPr>
        <w:t xml:space="preserve"> and</w:t>
      </w:r>
      <w:r w:rsidR="00C93DD5">
        <w:rPr>
          <w:szCs w:val="24"/>
        </w:rPr>
        <w:t xml:space="preserve"> making it appear as if campaign spending is only a marginal portion of </w:t>
      </w:r>
      <w:r w:rsidR="00AB24F6">
        <w:rPr>
          <w:szCs w:val="24"/>
        </w:rPr>
        <w:t xml:space="preserve">its </w:t>
      </w:r>
      <w:r w:rsidR="00C93DD5">
        <w:rPr>
          <w:szCs w:val="24"/>
        </w:rPr>
        <w:t>expenses</w:t>
      </w:r>
      <w:r w:rsidR="003240F3">
        <w:rPr>
          <w:szCs w:val="24"/>
        </w:rPr>
        <w:t xml:space="preserve">.  </w:t>
      </w:r>
      <w:r w:rsidR="00815169">
        <w:rPr>
          <w:szCs w:val="24"/>
        </w:rPr>
        <w:t xml:space="preserve">Nothing in </w:t>
      </w:r>
      <w:r w:rsidR="00815169">
        <w:rPr>
          <w:i/>
          <w:szCs w:val="24"/>
        </w:rPr>
        <w:t>Buckley</w:t>
      </w:r>
      <w:r w:rsidR="00815169">
        <w:rPr>
          <w:szCs w:val="24"/>
        </w:rPr>
        <w:t xml:space="preserve"> requires departing from the plain terms of the FECA, however</w:t>
      </w:r>
      <w:r w:rsidR="00AB24F6">
        <w:rPr>
          <w:szCs w:val="24"/>
        </w:rPr>
        <w:t>.  G</w:t>
      </w:r>
      <w:r w:rsidR="00815169">
        <w:rPr>
          <w:szCs w:val="24"/>
        </w:rPr>
        <w:t xml:space="preserve">roups that meet the statutory threshold </w:t>
      </w:r>
      <w:r w:rsidR="00C47307">
        <w:rPr>
          <w:szCs w:val="24"/>
        </w:rPr>
        <w:t xml:space="preserve">can </w:t>
      </w:r>
      <w:r w:rsidR="00815169">
        <w:rPr>
          <w:szCs w:val="24"/>
        </w:rPr>
        <w:t xml:space="preserve">be obligated to register and report as political committees </w:t>
      </w:r>
      <w:r w:rsidR="00AB24F6">
        <w:rPr>
          <w:szCs w:val="24"/>
        </w:rPr>
        <w:t>and their extensive spending on electioneering communications does not provide reason to excuse them from those obligations</w:t>
      </w:r>
      <w:r w:rsidR="006432F7">
        <w:rPr>
          <w:szCs w:val="24"/>
        </w:rPr>
        <w:t>.</w:t>
      </w:r>
      <w:r w:rsidR="00C04CBB">
        <w:rPr>
          <w:rStyle w:val="FootnoteReference"/>
          <w:szCs w:val="24"/>
        </w:rPr>
        <w:footnoteReference w:id="10"/>
      </w:r>
      <w:r w:rsidR="006432F7">
        <w:rPr>
          <w:szCs w:val="24"/>
        </w:rPr>
        <w:t xml:space="preserve">  </w:t>
      </w:r>
    </w:p>
    <w:p w14:paraId="6B5236B5" w14:textId="1095751A" w:rsidR="00A3466C" w:rsidRPr="00011699" w:rsidRDefault="00A3466C" w:rsidP="001F6F72">
      <w:pPr>
        <w:spacing w:line="480" w:lineRule="auto"/>
        <w:ind w:firstLine="720"/>
        <w:rPr>
          <w:szCs w:val="24"/>
        </w:rPr>
      </w:pPr>
      <w:r>
        <w:rPr>
          <w:szCs w:val="24"/>
        </w:rPr>
        <w:t xml:space="preserve">The controlling commissioners misinterpreted this Court’s judgment and once again misinterpreted </w:t>
      </w:r>
      <w:r>
        <w:rPr>
          <w:i/>
          <w:szCs w:val="24"/>
        </w:rPr>
        <w:t>Buckley</w:t>
      </w:r>
      <w:r>
        <w:rPr>
          <w:szCs w:val="24"/>
        </w:rPr>
        <w:t xml:space="preserve"> to</w:t>
      </w:r>
      <w:r w:rsidR="004800D0">
        <w:rPr>
          <w:szCs w:val="24"/>
        </w:rPr>
        <w:t xml:space="preserve"> prohibit them from finding all of AAN’s electioneering communications were political</w:t>
      </w:r>
      <w:r>
        <w:rPr>
          <w:szCs w:val="24"/>
        </w:rPr>
        <w:t xml:space="preserve">.  Nothing in the Court’s September 19 Order or </w:t>
      </w:r>
      <w:r>
        <w:rPr>
          <w:i/>
          <w:szCs w:val="24"/>
        </w:rPr>
        <w:t>Buckley</w:t>
      </w:r>
      <w:r>
        <w:rPr>
          <w:szCs w:val="24"/>
        </w:rPr>
        <w:t xml:space="preserve"> require</w:t>
      </w:r>
      <w:r w:rsidR="00AB24F6">
        <w:rPr>
          <w:szCs w:val="24"/>
        </w:rPr>
        <w:t>s</w:t>
      </w:r>
      <w:r>
        <w:rPr>
          <w:szCs w:val="24"/>
        </w:rPr>
        <w:t xml:space="preserve"> that conclusion however, and therefore nothing justifies the controlling commissioners’ departure from the plain terms of the FECA.  </w:t>
      </w:r>
    </w:p>
    <w:p w14:paraId="7C5426B2" w14:textId="6EBCA2BD" w:rsidR="008B67C3" w:rsidRPr="008B67C3" w:rsidRDefault="008B67C3">
      <w:pPr>
        <w:pStyle w:val="Heading1"/>
      </w:pPr>
      <w:r>
        <w:t>CONCLUSION</w:t>
      </w:r>
    </w:p>
    <w:p w14:paraId="0C162FB9" w14:textId="27FAB4A9" w:rsidR="002C16BC" w:rsidRPr="002C16BC" w:rsidRDefault="002C16BC" w:rsidP="002C16BC">
      <w:pPr>
        <w:spacing w:line="480" w:lineRule="auto"/>
        <w:ind w:firstLine="720"/>
        <w:rPr>
          <w:szCs w:val="24"/>
        </w:rPr>
      </w:pPr>
      <w:r>
        <w:rPr>
          <w:szCs w:val="24"/>
        </w:rPr>
        <w:t>On remand, rather that act in conformity with this Court’s September 19 Order, the controlling commissioners once again misinterpreted legal precedent and arbitrarily and capricious</w:t>
      </w:r>
      <w:r w:rsidR="00C04CBB">
        <w:rPr>
          <w:szCs w:val="24"/>
        </w:rPr>
        <w:t>ly</w:t>
      </w:r>
      <w:r>
        <w:rPr>
          <w:szCs w:val="24"/>
        </w:rPr>
        <w:t xml:space="preserve"> applied the legally erroneous test they created to find </w:t>
      </w:r>
      <w:r w:rsidR="00C47307" w:rsidRPr="005E24AB">
        <w:rPr>
          <w:szCs w:val="24"/>
        </w:rPr>
        <w:t>the</w:t>
      </w:r>
      <w:r w:rsidR="00C47307">
        <w:rPr>
          <w:i/>
          <w:szCs w:val="24"/>
        </w:rPr>
        <w:t xml:space="preserve"> </w:t>
      </w:r>
      <w:r w:rsidR="00C47307">
        <w:rPr>
          <w:szCs w:val="24"/>
        </w:rPr>
        <w:t xml:space="preserve">vast majority </w:t>
      </w:r>
      <w:r>
        <w:rPr>
          <w:szCs w:val="24"/>
        </w:rPr>
        <w:t xml:space="preserve">of AAN’s </w:t>
      </w:r>
      <w:r w:rsidR="00C47307">
        <w:rPr>
          <w:szCs w:val="24"/>
        </w:rPr>
        <w:t xml:space="preserve">electioneering communications </w:t>
      </w:r>
      <w:r>
        <w:rPr>
          <w:szCs w:val="24"/>
        </w:rPr>
        <w:t xml:space="preserve">ads were </w:t>
      </w:r>
      <w:r>
        <w:rPr>
          <w:i/>
          <w:szCs w:val="24"/>
        </w:rPr>
        <w:t>not</w:t>
      </w:r>
      <w:r>
        <w:rPr>
          <w:szCs w:val="24"/>
        </w:rPr>
        <w:t xml:space="preserve"> electoral.  Indeed, applying the legally incorrect test, the controlling commissioners even found the </w:t>
      </w:r>
      <w:r w:rsidR="00261E7E">
        <w:rPr>
          <w:szCs w:val="24"/>
        </w:rPr>
        <w:t>ad</w:t>
      </w:r>
      <w:r w:rsidR="000D636A">
        <w:rPr>
          <w:szCs w:val="24"/>
        </w:rPr>
        <w:t xml:space="preserve"> that</w:t>
      </w:r>
      <w:r w:rsidR="00261E7E">
        <w:rPr>
          <w:szCs w:val="24"/>
        </w:rPr>
        <w:t xml:space="preserve"> this Court </w:t>
      </w:r>
      <w:r w:rsidR="00011699">
        <w:rPr>
          <w:szCs w:val="24"/>
        </w:rPr>
        <w:t xml:space="preserve">quoted in full </w:t>
      </w:r>
      <w:r>
        <w:rPr>
          <w:szCs w:val="24"/>
        </w:rPr>
        <w:t>was</w:t>
      </w:r>
      <w:r w:rsidR="0060648A">
        <w:rPr>
          <w:szCs w:val="24"/>
        </w:rPr>
        <w:t xml:space="preserve"> not, as they saw it,</w:t>
      </w:r>
      <w:r>
        <w:rPr>
          <w:szCs w:val="24"/>
        </w:rPr>
        <w:t xml:space="preserve"> election</w:t>
      </w:r>
      <w:r w:rsidR="00AB24F6">
        <w:rPr>
          <w:szCs w:val="24"/>
        </w:rPr>
        <w:t>-</w:t>
      </w:r>
      <w:r>
        <w:rPr>
          <w:szCs w:val="24"/>
        </w:rPr>
        <w:t>related.</w:t>
      </w:r>
      <w:r w:rsidR="00E85BE7">
        <w:rPr>
          <w:szCs w:val="24"/>
        </w:rPr>
        <w:t xml:space="preserve">  Moreover, the</w:t>
      </w:r>
      <w:r w:rsidR="00C47307">
        <w:rPr>
          <w:szCs w:val="24"/>
        </w:rPr>
        <w:t xml:space="preserve"> FEC</w:t>
      </w:r>
      <w:r w:rsidR="00E85BE7">
        <w:rPr>
          <w:szCs w:val="24"/>
        </w:rPr>
        <w:t xml:space="preserve"> failed to take act</w:t>
      </w:r>
      <w:r w:rsidR="0060648A">
        <w:rPr>
          <w:szCs w:val="24"/>
        </w:rPr>
        <w:t>ion</w:t>
      </w:r>
      <w:r w:rsidR="00E85BE7">
        <w:rPr>
          <w:szCs w:val="24"/>
        </w:rPr>
        <w:t xml:space="preserve"> at all with respect to AJS, despite the Court’s clear thirty-day deadline</w:t>
      </w:r>
      <w:r w:rsidR="0060648A">
        <w:rPr>
          <w:szCs w:val="24"/>
        </w:rPr>
        <w:t xml:space="preserve"> for them to do so</w:t>
      </w:r>
      <w:r w:rsidR="00E85BE7">
        <w:rPr>
          <w:szCs w:val="24"/>
        </w:rPr>
        <w:t xml:space="preserve">.  </w:t>
      </w:r>
      <w:r w:rsidR="00E85BE7" w:rsidRPr="00E85BE7">
        <w:rPr>
          <w:szCs w:val="24"/>
        </w:rPr>
        <w:t>Accordingly</w:t>
      </w:r>
      <w:r w:rsidR="00E85BE7">
        <w:rPr>
          <w:szCs w:val="24"/>
        </w:rPr>
        <w:t>, Plaintiffs ask this Court to order the FEC to show cause why the Court should not find the agency’s new dismissal of Plaintiffs’ complaint against AAN</w:t>
      </w:r>
      <w:r>
        <w:rPr>
          <w:szCs w:val="24"/>
        </w:rPr>
        <w:t xml:space="preserve"> </w:t>
      </w:r>
      <w:r w:rsidR="00E85BE7">
        <w:rPr>
          <w:szCs w:val="24"/>
        </w:rPr>
        <w:t xml:space="preserve">and its complete failure to act on AJS on remand </w:t>
      </w:r>
      <w:r w:rsidR="00C93DD5">
        <w:rPr>
          <w:szCs w:val="24"/>
        </w:rPr>
        <w:t xml:space="preserve">were </w:t>
      </w:r>
      <w:r w:rsidR="00E85BE7">
        <w:rPr>
          <w:szCs w:val="24"/>
        </w:rPr>
        <w:t xml:space="preserve">not in conformity with this Court’s September 19 Order.  Plaintiffs further ask this Court to </w:t>
      </w:r>
      <w:r w:rsidR="0060648A">
        <w:rPr>
          <w:szCs w:val="24"/>
        </w:rPr>
        <w:t>or</w:t>
      </w:r>
      <w:r w:rsidR="00E85BE7">
        <w:rPr>
          <w:szCs w:val="24"/>
        </w:rPr>
        <w:t xml:space="preserve">der the FEC to show </w:t>
      </w:r>
      <w:proofErr w:type="gramStart"/>
      <w:r w:rsidR="00E85BE7">
        <w:rPr>
          <w:szCs w:val="24"/>
        </w:rPr>
        <w:t>cause</w:t>
      </w:r>
      <w:proofErr w:type="gramEnd"/>
      <w:r w:rsidR="00E85BE7">
        <w:rPr>
          <w:szCs w:val="24"/>
        </w:rPr>
        <w:t xml:space="preserve"> why the Court should not find that the FEC’s failure to act in conformity has triggered the FECA’s citizen</w:t>
      </w:r>
      <w:r w:rsidR="00AB24F6">
        <w:rPr>
          <w:szCs w:val="24"/>
        </w:rPr>
        <w:t xml:space="preserve"> </w:t>
      </w:r>
      <w:r w:rsidR="00E85BE7">
        <w:rPr>
          <w:szCs w:val="24"/>
        </w:rPr>
        <w:t xml:space="preserve">suit provision, </w:t>
      </w:r>
      <w:r w:rsidR="0060648A">
        <w:rPr>
          <w:szCs w:val="24"/>
        </w:rPr>
        <w:t>giving rise to</w:t>
      </w:r>
      <w:r w:rsidR="00E85BE7">
        <w:rPr>
          <w:szCs w:val="24"/>
        </w:rPr>
        <w:t xml:space="preserve"> Plaintiff</w:t>
      </w:r>
      <w:r w:rsidR="0060648A">
        <w:rPr>
          <w:szCs w:val="24"/>
        </w:rPr>
        <w:t>s</w:t>
      </w:r>
      <w:r w:rsidR="00C47307">
        <w:rPr>
          <w:szCs w:val="24"/>
        </w:rPr>
        <w:t>’</w:t>
      </w:r>
      <w:r w:rsidR="0060648A">
        <w:rPr>
          <w:szCs w:val="24"/>
        </w:rPr>
        <w:t xml:space="preserve"> direct cause of action again</w:t>
      </w:r>
      <w:r w:rsidR="00E85BE7">
        <w:rPr>
          <w:szCs w:val="24"/>
        </w:rPr>
        <w:t xml:space="preserve">st AAN and AJS.  Alternatively, if the Court believes more briefing than might be available on an order to show cause would be useful, Plaintiffs ask the Court reopen this case and authorize Plaintiffs to file a new motion for summary judgment.  </w:t>
      </w:r>
    </w:p>
    <w:p w14:paraId="3D52028B" w14:textId="77777777" w:rsidR="00C04CBB" w:rsidRDefault="00C04CBB" w:rsidP="00E85BE7">
      <w:pPr>
        <w:spacing w:line="480" w:lineRule="auto"/>
        <w:rPr>
          <w:szCs w:val="24"/>
        </w:rPr>
      </w:pPr>
    </w:p>
    <w:p w14:paraId="75AC8C57" w14:textId="2B6993F8" w:rsidR="007A7B69" w:rsidRPr="00E85BE7" w:rsidRDefault="0048095B" w:rsidP="009C5F77">
      <w:pPr>
        <w:keepNext/>
        <w:rPr>
          <w:szCs w:val="24"/>
        </w:rPr>
      </w:pPr>
      <w:r w:rsidRPr="00E85BE7">
        <w:rPr>
          <w:szCs w:val="24"/>
        </w:rPr>
        <w:t xml:space="preserve">Dated: </w:t>
      </w:r>
      <w:proofErr w:type="gramStart"/>
      <w:r w:rsidR="00011699">
        <w:rPr>
          <w:szCs w:val="24"/>
        </w:rPr>
        <w:t xml:space="preserve">November </w:t>
      </w:r>
      <w:r w:rsidR="00011699" w:rsidRPr="00E85BE7">
        <w:rPr>
          <w:szCs w:val="24"/>
        </w:rPr>
        <w:t xml:space="preserve"> </w:t>
      </w:r>
      <w:r w:rsidR="000C73E4" w:rsidRPr="005A2419">
        <w:rPr>
          <w:szCs w:val="24"/>
          <w:highlight w:val="yellow"/>
        </w:rPr>
        <w:t>_</w:t>
      </w:r>
      <w:proofErr w:type="gramEnd"/>
      <w:r w:rsidR="000C73E4" w:rsidRPr="005A2419">
        <w:rPr>
          <w:szCs w:val="24"/>
          <w:highlight w:val="yellow"/>
        </w:rPr>
        <w:t>_</w:t>
      </w:r>
      <w:bookmarkStart w:id="0" w:name="_GoBack"/>
      <w:bookmarkEnd w:id="0"/>
      <w:r w:rsidR="00BC6DF4" w:rsidRPr="00E85BE7">
        <w:rPr>
          <w:szCs w:val="24"/>
        </w:rPr>
        <w:t xml:space="preserve">, </w:t>
      </w:r>
      <w:r w:rsidR="005B7245" w:rsidRPr="00E85BE7">
        <w:rPr>
          <w:szCs w:val="24"/>
        </w:rPr>
        <w:t>2016</w:t>
      </w:r>
      <w:r w:rsidRPr="00E85BE7">
        <w:rPr>
          <w:szCs w:val="24"/>
        </w:rPr>
        <w:t>.</w:t>
      </w:r>
    </w:p>
    <w:p w14:paraId="091592AE" w14:textId="73AE9DF1" w:rsidR="007A7B69" w:rsidRPr="006F17BB" w:rsidRDefault="007A7B69">
      <w:pPr>
        <w:pStyle w:val="PlainText1"/>
        <w:keepNext/>
        <w:tabs>
          <w:tab w:val="left" w:pos="5400"/>
        </w:tabs>
        <w:spacing w:line="240" w:lineRule="auto"/>
        <w:ind w:left="4680"/>
        <w:rPr>
          <w:rFonts w:ascii="Times New Roman" w:hAnsi="Times New Roman"/>
          <w:color w:val="000000"/>
          <w:szCs w:val="24"/>
        </w:rPr>
      </w:pPr>
      <w:r w:rsidRPr="006F17BB">
        <w:rPr>
          <w:rFonts w:ascii="Times New Roman" w:hAnsi="Times New Roman"/>
          <w:color w:val="000000"/>
          <w:szCs w:val="24"/>
        </w:rPr>
        <w:t>Respectfully submitted,</w:t>
      </w:r>
      <w:r w:rsidR="0048095B" w:rsidRPr="006F17BB">
        <w:rPr>
          <w:rFonts w:ascii="Times New Roman" w:hAnsi="Times New Roman"/>
          <w:color w:val="000000"/>
          <w:szCs w:val="24"/>
        </w:rPr>
        <w:br/>
      </w:r>
    </w:p>
    <w:p w14:paraId="4E2EEB65" w14:textId="1F8E0249" w:rsidR="0048095B" w:rsidRPr="006F17BB" w:rsidRDefault="008D7411" w:rsidP="00C04CBB">
      <w:pPr>
        <w:pStyle w:val="PlainText1"/>
        <w:keepNext/>
        <w:tabs>
          <w:tab w:val="left" w:pos="5400"/>
        </w:tabs>
        <w:spacing w:line="240" w:lineRule="auto"/>
        <w:ind w:left="4680"/>
        <w:rPr>
          <w:rFonts w:ascii="Times New Roman" w:hAnsi="Times New Roman"/>
          <w:color w:val="000000"/>
          <w:szCs w:val="24"/>
          <w:u w:val="single"/>
        </w:rPr>
      </w:pPr>
      <w:r>
        <w:rPr>
          <w:rFonts w:ascii="Times New Roman" w:hAnsi="Times New Roman"/>
          <w:i/>
          <w:color w:val="000000"/>
          <w:szCs w:val="24"/>
          <w:u w:val="single"/>
        </w:rPr>
        <w:t>/s</w:t>
      </w:r>
      <w:r w:rsidR="00BC6DF4">
        <w:rPr>
          <w:rFonts w:ascii="Times New Roman" w:hAnsi="Times New Roman"/>
          <w:i/>
          <w:color w:val="000000"/>
          <w:szCs w:val="24"/>
          <w:u w:val="single"/>
        </w:rPr>
        <w:t>/</w:t>
      </w:r>
      <w:r>
        <w:rPr>
          <w:rFonts w:ascii="Times New Roman" w:hAnsi="Times New Roman"/>
          <w:i/>
          <w:color w:val="000000"/>
          <w:szCs w:val="24"/>
          <w:u w:val="single"/>
        </w:rPr>
        <w:t xml:space="preserve"> Stuart McPhail</w:t>
      </w:r>
      <w:r w:rsidR="0048095B" w:rsidRPr="006F17BB">
        <w:rPr>
          <w:rFonts w:ascii="Times New Roman" w:hAnsi="Times New Roman"/>
          <w:color w:val="000000"/>
          <w:szCs w:val="24"/>
          <w:u w:val="single"/>
        </w:rPr>
        <w:tab/>
      </w:r>
      <w:r w:rsidR="0048095B" w:rsidRPr="006F17BB">
        <w:rPr>
          <w:rFonts w:ascii="Times New Roman" w:hAnsi="Times New Roman"/>
          <w:color w:val="000000"/>
          <w:szCs w:val="24"/>
          <w:u w:val="single"/>
        </w:rPr>
        <w:tab/>
      </w:r>
    </w:p>
    <w:p w14:paraId="790955FC" w14:textId="1C20F762" w:rsidR="0048095B" w:rsidRPr="006F17BB" w:rsidRDefault="0048095B" w:rsidP="00C04CBB">
      <w:pPr>
        <w:pStyle w:val="PlainText1"/>
        <w:keepNext/>
        <w:tabs>
          <w:tab w:val="left" w:pos="5400"/>
        </w:tabs>
        <w:spacing w:line="240" w:lineRule="auto"/>
        <w:ind w:left="4680"/>
        <w:rPr>
          <w:rFonts w:ascii="Times New Roman" w:hAnsi="Times New Roman"/>
          <w:color w:val="000000"/>
          <w:szCs w:val="24"/>
        </w:rPr>
      </w:pPr>
      <w:r w:rsidRPr="006F17BB">
        <w:rPr>
          <w:rFonts w:ascii="Times New Roman" w:hAnsi="Times New Roman"/>
          <w:color w:val="000000"/>
          <w:szCs w:val="24"/>
        </w:rPr>
        <w:t>Stuart C. McPhail</w:t>
      </w:r>
      <w:r w:rsidR="00252025" w:rsidRPr="006F17BB">
        <w:rPr>
          <w:rFonts w:ascii="Times New Roman" w:hAnsi="Times New Roman"/>
          <w:color w:val="000000"/>
          <w:szCs w:val="24"/>
        </w:rPr>
        <w:br/>
      </w:r>
      <w:r w:rsidR="00252025" w:rsidRPr="006F17BB">
        <w:rPr>
          <w:rFonts w:ascii="Times New Roman" w:hAnsi="Times New Roman"/>
          <w:i/>
          <w:color w:val="000000"/>
          <w:szCs w:val="24"/>
        </w:rPr>
        <w:t>smcphail@citizensforethics.org</w:t>
      </w:r>
    </w:p>
    <w:p w14:paraId="0CEE25EF" w14:textId="1ECE3F91" w:rsidR="0048095B" w:rsidRPr="006F17BB" w:rsidRDefault="000C73E4" w:rsidP="00D96C89">
      <w:pPr>
        <w:pStyle w:val="PlainText1"/>
        <w:tabs>
          <w:tab w:val="left" w:pos="5400"/>
        </w:tabs>
        <w:spacing w:line="240" w:lineRule="auto"/>
        <w:ind w:left="4680"/>
        <w:rPr>
          <w:rFonts w:ascii="Times New Roman" w:hAnsi="Times New Roman"/>
          <w:color w:val="000000"/>
          <w:szCs w:val="24"/>
        </w:rPr>
      </w:pPr>
      <w:r>
        <w:rPr>
          <w:rFonts w:ascii="Times New Roman" w:hAnsi="Times New Roman"/>
          <w:color w:val="000000"/>
          <w:szCs w:val="24"/>
        </w:rPr>
        <w:t>(D.C. Bar 1032529</w:t>
      </w:r>
      <w:r w:rsidR="0048095B" w:rsidRPr="006F17BB">
        <w:rPr>
          <w:rFonts w:ascii="Times New Roman" w:hAnsi="Times New Roman"/>
          <w:color w:val="000000"/>
          <w:szCs w:val="24"/>
        </w:rPr>
        <w:t>)</w:t>
      </w:r>
      <w:r w:rsidR="005363AF" w:rsidRPr="006F17BB">
        <w:rPr>
          <w:rFonts w:ascii="Times New Roman" w:hAnsi="Times New Roman"/>
          <w:color w:val="000000"/>
          <w:szCs w:val="24"/>
        </w:rPr>
        <w:br/>
      </w:r>
    </w:p>
    <w:p w14:paraId="2A238FE9" w14:textId="25FA5B99" w:rsidR="00F4104C" w:rsidRPr="006F17BB" w:rsidRDefault="008D7411" w:rsidP="00F4104C">
      <w:pPr>
        <w:pStyle w:val="PlainText1"/>
        <w:tabs>
          <w:tab w:val="left" w:pos="5400"/>
        </w:tabs>
        <w:spacing w:line="240" w:lineRule="auto"/>
        <w:ind w:left="4680"/>
        <w:rPr>
          <w:rFonts w:ascii="Times New Roman" w:hAnsi="Times New Roman"/>
          <w:color w:val="000000"/>
          <w:szCs w:val="24"/>
          <w:u w:val="single"/>
        </w:rPr>
      </w:pPr>
      <w:r>
        <w:rPr>
          <w:rFonts w:ascii="Times New Roman" w:hAnsi="Times New Roman"/>
          <w:i/>
          <w:color w:val="000000"/>
          <w:szCs w:val="24"/>
          <w:u w:val="single"/>
        </w:rPr>
        <w:t>/s/ Adam J. Rappaport</w:t>
      </w:r>
      <w:r w:rsidR="00F4104C" w:rsidRPr="006F17BB">
        <w:rPr>
          <w:rFonts w:ascii="Times New Roman" w:hAnsi="Times New Roman"/>
          <w:color w:val="000000"/>
          <w:szCs w:val="24"/>
          <w:u w:val="single"/>
        </w:rPr>
        <w:tab/>
      </w:r>
      <w:r w:rsidR="00F4104C" w:rsidRPr="006F17BB">
        <w:rPr>
          <w:rFonts w:ascii="Times New Roman" w:hAnsi="Times New Roman"/>
          <w:color w:val="000000"/>
          <w:szCs w:val="24"/>
          <w:u w:val="single"/>
        </w:rPr>
        <w:tab/>
      </w:r>
    </w:p>
    <w:p w14:paraId="79D74977" w14:textId="77777777" w:rsidR="00252025" w:rsidRPr="006F17BB" w:rsidRDefault="007A7B69" w:rsidP="00252025">
      <w:pPr>
        <w:ind w:left="4680"/>
        <w:rPr>
          <w:szCs w:val="24"/>
        </w:rPr>
      </w:pPr>
      <w:r w:rsidRPr="006F17BB">
        <w:rPr>
          <w:szCs w:val="24"/>
        </w:rPr>
        <w:t>Adam J. Rappaport</w:t>
      </w:r>
      <w:r w:rsidR="00252025" w:rsidRPr="006F17BB">
        <w:rPr>
          <w:szCs w:val="24"/>
        </w:rPr>
        <w:br/>
      </w:r>
      <w:r w:rsidR="00252025" w:rsidRPr="006F17BB">
        <w:rPr>
          <w:i/>
          <w:szCs w:val="24"/>
        </w:rPr>
        <w:t>arappaport@citizensforethics.org</w:t>
      </w:r>
    </w:p>
    <w:p w14:paraId="200A87D1" w14:textId="77777777" w:rsidR="007A7B69" w:rsidRDefault="007A7B69" w:rsidP="007A7B69">
      <w:pPr>
        <w:ind w:left="4680"/>
        <w:rPr>
          <w:szCs w:val="24"/>
        </w:rPr>
      </w:pPr>
      <w:r w:rsidRPr="006F17BB">
        <w:rPr>
          <w:szCs w:val="24"/>
        </w:rPr>
        <w:t xml:space="preserve">(D.C. </w:t>
      </w:r>
      <w:proofErr w:type="gramStart"/>
      <w:r w:rsidRPr="006F17BB">
        <w:rPr>
          <w:szCs w:val="24"/>
        </w:rPr>
        <w:t>Bar</w:t>
      </w:r>
      <w:proofErr w:type="gramEnd"/>
      <w:r w:rsidRPr="006F17BB">
        <w:rPr>
          <w:szCs w:val="24"/>
        </w:rPr>
        <w:t xml:space="preserve"> No. 479866)</w:t>
      </w:r>
    </w:p>
    <w:p w14:paraId="3288A611" w14:textId="77777777" w:rsidR="000C73E4" w:rsidRPr="006F17BB" w:rsidRDefault="000C73E4" w:rsidP="007A7B69">
      <w:pPr>
        <w:ind w:left="4680"/>
        <w:rPr>
          <w:szCs w:val="24"/>
        </w:rPr>
      </w:pPr>
    </w:p>
    <w:p w14:paraId="4F090DB4" w14:textId="77777777" w:rsidR="007A7B69" w:rsidRPr="006F17BB" w:rsidRDefault="007A7B69" w:rsidP="007A7B69">
      <w:pPr>
        <w:ind w:left="4860" w:hanging="180"/>
        <w:rPr>
          <w:szCs w:val="24"/>
        </w:rPr>
      </w:pPr>
      <w:r w:rsidRPr="006F17BB">
        <w:rPr>
          <w:szCs w:val="24"/>
        </w:rPr>
        <w:t>Citizens for Responsibility and Ethics</w:t>
      </w:r>
      <w:r w:rsidRPr="006F17BB">
        <w:rPr>
          <w:szCs w:val="24"/>
        </w:rPr>
        <w:br/>
        <w:t>in Washington</w:t>
      </w:r>
    </w:p>
    <w:p w14:paraId="295F95BF" w14:textId="157F236F" w:rsidR="007A7B69" w:rsidRPr="006F17BB" w:rsidRDefault="007A7B69" w:rsidP="007A7B69">
      <w:pPr>
        <w:ind w:left="4680"/>
        <w:rPr>
          <w:szCs w:val="24"/>
        </w:rPr>
      </w:pPr>
      <w:r w:rsidRPr="006F17BB">
        <w:rPr>
          <w:szCs w:val="24"/>
        </w:rPr>
        <w:t>455 Massachusetts Ave., N</w:t>
      </w:r>
      <w:r w:rsidR="00020516">
        <w:rPr>
          <w:szCs w:val="24"/>
        </w:rPr>
        <w:t>.</w:t>
      </w:r>
      <w:r w:rsidRPr="006F17BB">
        <w:rPr>
          <w:szCs w:val="24"/>
        </w:rPr>
        <w:t>W</w:t>
      </w:r>
      <w:r w:rsidR="00020516">
        <w:rPr>
          <w:szCs w:val="24"/>
        </w:rPr>
        <w:t>.</w:t>
      </w:r>
      <w:r w:rsidRPr="006F17BB">
        <w:rPr>
          <w:szCs w:val="24"/>
        </w:rPr>
        <w:t xml:space="preserve">, </w:t>
      </w:r>
      <w:r w:rsidR="00020516">
        <w:rPr>
          <w:szCs w:val="24"/>
        </w:rPr>
        <w:t>Sixth Floor</w:t>
      </w:r>
    </w:p>
    <w:p w14:paraId="530094AE" w14:textId="77777777" w:rsidR="007A7B69" w:rsidRPr="006F17BB" w:rsidRDefault="007A7B69" w:rsidP="007A7B69">
      <w:pPr>
        <w:ind w:left="4680"/>
        <w:rPr>
          <w:szCs w:val="24"/>
        </w:rPr>
      </w:pPr>
      <w:r w:rsidRPr="006F17BB">
        <w:rPr>
          <w:szCs w:val="24"/>
        </w:rPr>
        <w:t>Washington, D.C.  20001</w:t>
      </w:r>
    </w:p>
    <w:p w14:paraId="5854BE50" w14:textId="77777777" w:rsidR="007A7B69" w:rsidRPr="006F17BB" w:rsidRDefault="007A7B69" w:rsidP="007A7B69">
      <w:pPr>
        <w:ind w:left="4680"/>
        <w:rPr>
          <w:szCs w:val="24"/>
        </w:rPr>
      </w:pPr>
      <w:r w:rsidRPr="006F17BB">
        <w:rPr>
          <w:szCs w:val="24"/>
        </w:rPr>
        <w:t>Telephone: (202) 408-5565</w:t>
      </w:r>
    </w:p>
    <w:p w14:paraId="1FBD4E4A" w14:textId="68AB447C" w:rsidR="00DF53F8" w:rsidRDefault="007A7B69" w:rsidP="009C5F77">
      <w:pPr>
        <w:ind w:left="5040" w:hanging="360"/>
        <w:rPr>
          <w:i/>
          <w:szCs w:val="24"/>
        </w:rPr>
      </w:pPr>
      <w:r w:rsidRPr="006F17BB">
        <w:rPr>
          <w:szCs w:val="24"/>
        </w:rPr>
        <w:t>Fax: (202) 588-5020</w:t>
      </w:r>
      <w:r w:rsidR="00DF53F8">
        <w:rPr>
          <w:szCs w:val="24"/>
        </w:rPr>
        <w:br/>
      </w:r>
    </w:p>
    <w:p w14:paraId="7B2EFBDC" w14:textId="0D6F3BC4" w:rsidR="001A683E" w:rsidRPr="006F17BB" w:rsidRDefault="007A7B69" w:rsidP="009C5F77">
      <w:pPr>
        <w:ind w:left="5040" w:hanging="360"/>
        <w:rPr>
          <w:szCs w:val="24"/>
          <w:u w:val="single"/>
        </w:rPr>
      </w:pPr>
      <w:r w:rsidRPr="006F17BB">
        <w:rPr>
          <w:i/>
          <w:szCs w:val="24"/>
        </w:rPr>
        <w:t>Attorney</w:t>
      </w:r>
      <w:r w:rsidR="00B41D06" w:rsidRPr="006F17BB">
        <w:rPr>
          <w:i/>
          <w:szCs w:val="24"/>
        </w:rPr>
        <w:t>s</w:t>
      </w:r>
      <w:r w:rsidRPr="006F17BB">
        <w:rPr>
          <w:i/>
          <w:szCs w:val="24"/>
        </w:rPr>
        <w:t xml:space="preserve"> for Citizens for Responsibility and Ethics in Washington</w:t>
      </w:r>
      <w:r w:rsidR="00EB5835" w:rsidRPr="006F17BB">
        <w:rPr>
          <w:i/>
          <w:szCs w:val="24"/>
        </w:rPr>
        <w:t xml:space="preserve"> and Melanie Sloan</w:t>
      </w:r>
    </w:p>
    <w:sectPr w:rsidR="001A683E" w:rsidRPr="006F17BB" w:rsidSect="003D7736">
      <w:footerReference w:type="default" r:id="rId22"/>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A4548" w14:textId="77777777" w:rsidR="00D005AB" w:rsidRDefault="00D005AB" w:rsidP="00840DAB">
      <w:r>
        <w:separator/>
      </w:r>
    </w:p>
  </w:endnote>
  <w:endnote w:type="continuationSeparator" w:id="0">
    <w:p w14:paraId="044E94B1" w14:textId="77777777" w:rsidR="00D005AB" w:rsidRDefault="00D005AB" w:rsidP="008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603"/>
      <w:docPartObj>
        <w:docPartGallery w:val="Page Numbers (Bottom of Page)"/>
        <w:docPartUnique/>
      </w:docPartObj>
    </w:sdtPr>
    <w:sdtEndPr>
      <w:rPr>
        <w:szCs w:val="24"/>
      </w:rPr>
    </w:sdtEndPr>
    <w:sdtContent>
      <w:p w14:paraId="3990EB3C" w14:textId="68A5AE4F" w:rsidR="00C55EDD" w:rsidRPr="00011078" w:rsidRDefault="00C55EDD">
        <w:pPr>
          <w:pStyle w:val="Footer"/>
          <w:jc w:val="center"/>
          <w:rPr>
            <w:szCs w:val="24"/>
          </w:rPr>
        </w:pPr>
        <w:r w:rsidRPr="00011078">
          <w:rPr>
            <w:szCs w:val="24"/>
          </w:rPr>
          <w:fldChar w:fldCharType="begin"/>
        </w:r>
        <w:r w:rsidRPr="00011078">
          <w:rPr>
            <w:szCs w:val="24"/>
          </w:rPr>
          <w:instrText xml:space="preserve"> PAGE   \* MERGEFORMAT </w:instrText>
        </w:r>
        <w:r w:rsidRPr="00011078">
          <w:rPr>
            <w:szCs w:val="24"/>
          </w:rPr>
          <w:fldChar w:fldCharType="separate"/>
        </w:r>
        <w:r w:rsidR="005A2419">
          <w:rPr>
            <w:noProof/>
            <w:szCs w:val="24"/>
          </w:rPr>
          <w:t>24</w:t>
        </w:r>
        <w:r w:rsidRPr="00011078">
          <w:rPr>
            <w:noProof/>
            <w:szCs w:val="24"/>
          </w:rPr>
          <w:fldChar w:fldCharType="end"/>
        </w:r>
      </w:p>
    </w:sdtContent>
  </w:sdt>
  <w:p w14:paraId="079D221C" w14:textId="77777777" w:rsidR="00C55EDD" w:rsidRDefault="00C5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D9F7" w14:textId="77777777" w:rsidR="00D005AB" w:rsidRDefault="00D005AB" w:rsidP="00840DAB">
      <w:r>
        <w:separator/>
      </w:r>
    </w:p>
  </w:footnote>
  <w:footnote w:type="continuationSeparator" w:id="0">
    <w:p w14:paraId="33B70EE4" w14:textId="77777777" w:rsidR="00D005AB" w:rsidRDefault="00D005AB" w:rsidP="00840DAB">
      <w:r>
        <w:continuationSeparator/>
      </w:r>
    </w:p>
  </w:footnote>
  <w:footnote w:id="1">
    <w:p w14:paraId="616403D4" w14:textId="27D38D9D" w:rsidR="00C55EDD" w:rsidRPr="00281958" w:rsidRDefault="00C55EDD" w:rsidP="005E24AB">
      <w:pPr>
        <w:pStyle w:val="FootnoteText"/>
        <w:spacing w:after="120"/>
        <w:rPr>
          <w:sz w:val="24"/>
          <w:szCs w:val="24"/>
        </w:rPr>
      </w:pPr>
      <w:r w:rsidRPr="005E24AB">
        <w:rPr>
          <w:rStyle w:val="FootnoteReference"/>
          <w:sz w:val="24"/>
          <w:szCs w:val="24"/>
        </w:rPr>
        <w:footnoteRef/>
      </w:r>
      <w:r w:rsidRPr="005E24AB">
        <w:rPr>
          <w:sz w:val="24"/>
          <w:szCs w:val="24"/>
        </w:rPr>
        <w:t xml:space="preserve"> </w:t>
      </w:r>
      <w:r w:rsidRPr="00832834">
        <w:rPr>
          <w:sz w:val="24"/>
          <w:szCs w:val="24"/>
        </w:rPr>
        <w:t>To ensure that this matter is brought before the Court, contemporaneously with this motion Plaintiffs filed suit against the FEC, challenging as contrary to law the FEC’s dismissal of the AAN complaint on remand and its failure to act on the AJS matter.</w:t>
      </w:r>
    </w:p>
  </w:footnote>
  <w:footnote w:id="2">
    <w:p w14:paraId="57837B3C" w14:textId="6E2A63F8" w:rsidR="00B96F4E" w:rsidRPr="00B96F4E" w:rsidRDefault="00B96F4E">
      <w:pPr>
        <w:pStyle w:val="FootnoteText"/>
      </w:pPr>
      <w:r>
        <w:rPr>
          <w:rStyle w:val="FootnoteReference"/>
        </w:rPr>
        <w:footnoteRef/>
      </w:r>
      <w:r>
        <w:t xml:space="preserve"> As they had previously—and in contravention of the September 19 Order—the controlling commissioners treated all of AAN’s spending over its entire life as equally relevant.  </w:t>
      </w:r>
      <w:r w:rsidRPr="009C5F77">
        <w:t>See</w:t>
      </w:r>
      <w:r>
        <w:rPr>
          <w:i/>
        </w:rPr>
        <w:t xml:space="preserve"> </w:t>
      </w:r>
      <w:r w:rsidR="00345A9F">
        <w:t>Ex. 2</w:t>
      </w:r>
      <w:r>
        <w:t xml:space="preserve"> at 17.  As discussed below, even looking to AAN’s entire lifetime of spending, they spent a sufficient amount on campaign activity that their major purpose </w:t>
      </w:r>
      <w:r w:rsidR="00345A9F">
        <w:t>was</w:t>
      </w:r>
      <w:r>
        <w:t xml:space="preserve"> electing or nominating federal candidates.  </w:t>
      </w:r>
    </w:p>
  </w:footnote>
  <w:footnote w:id="3">
    <w:p w14:paraId="29DA5B62" w14:textId="2FEF5B7F" w:rsidR="00C55EDD" w:rsidRPr="00C642A8"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Plaintiffs’ administrative complaint noted that AAN removed most of its ads from its YouTube page after CREW filed an IRS complaint against the group, and directed the FEC to a website where some of the ads remained.  </w:t>
      </w:r>
      <w:r w:rsidRPr="00832834">
        <w:rPr>
          <w:i/>
          <w:sz w:val="24"/>
          <w:szCs w:val="24"/>
        </w:rPr>
        <w:t>See</w:t>
      </w:r>
      <w:r w:rsidRPr="00832834">
        <w:rPr>
          <w:sz w:val="24"/>
          <w:szCs w:val="24"/>
        </w:rPr>
        <w:t xml:space="preserve"> Joint </w:t>
      </w:r>
      <w:proofErr w:type="spellStart"/>
      <w:r w:rsidRPr="00832834">
        <w:rPr>
          <w:sz w:val="24"/>
          <w:szCs w:val="24"/>
        </w:rPr>
        <w:t>App’x</w:t>
      </w:r>
      <w:proofErr w:type="spellEnd"/>
      <w:r w:rsidRPr="00832834">
        <w:rPr>
          <w:sz w:val="24"/>
          <w:szCs w:val="24"/>
        </w:rPr>
        <w:t xml:space="preserve"> at AR 1483 n.2, ECF No. 46-5.  CREW has now assembled all of AAN’s electioneering communications ads it could locate on the Internet.  </w:t>
      </w:r>
      <w:r w:rsidR="00C642A8" w:rsidRPr="004800D0">
        <w:rPr>
          <w:i/>
          <w:sz w:val="24"/>
          <w:szCs w:val="24"/>
        </w:rPr>
        <w:t>See</w:t>
      </w:r>
      <w:r w:rsidR="00C642A8">
        <w:rPr>
          <w:i/>
          <w:sz w:val="24"/>
          <w:szCs w:val="24"/>
        </w:rPr>
        <w:t xml:space="preserve"> </w:t>
      </w:r>
      <w:r w:rsidR="00C642A8">
        <w:rPr>
          <w:sz w:val="24"/>
          <w:szCs w:val="24"/>
        </w:rPr>
        <w:t xml:space="preserve">CREW, </w:t>
      </w:r>
      <w:r w:rsidR="00C642A8">
        <w:rPr>
          <w:sz w:val="24"/>
          <w:szCs w:val="24"/>
          <w:u w:val="single"/>
        </w:rPr>
        <w:t>American Action Network (AAN) Ads</w:t>
      </w:r>
      <w:r w:rsidR="00C642A8">
        <w:rPr>
          <w:sz w:val="24"/>
          <w:szCs w:val="24"/>
        </w:rPr>
        <w:t xml:space="preserve">, </w:t>
      </w:r>
      <w:r w:rsidR="00C642A8">
        <w:rPr>
          <w:i/>
          <w:sz w:val="24"/>
          <w:szCs w:val="24"/>
        </w:rPr>
        <w:t>available at</w:t>
      </w:r>
      <w:r w:rsidR="00C642A8" w:rsidRPr="004800D0">
        <w:rPr>
          <w:i/>
          <w:sz w:val="24"/>
          <w:szCs w:val="24"/>
        </w:rPr>
        <w:t xml:space="preserve"> </w:t>
      </w:r>
      <w:r w:rsidR="00C642A8" w:rsidRPr="004800D0">
        <w:rPr>
          <w:sz w:val="24"/>
          <w:szCs w:val="24"/>
        </w:rPr>
        <w:t>http://www.citizensforethics.org/american-action-network-aan-ads/</w:t>
      </w:r>
      <w:r w:rsidR="00C642A8" w:rsidRPr="00C642A8">
        <w:rPr>
          <w:sz w:val="24"/>
          <w:szCs w:val="24"/>
        </w:rPr>
        <w:t>.</w:t>
      </w:r>
    </w:p>
  </w:footnote>
  <w:footnote w:id="4">
    <w:p w14:paraId="1B9131C8" w14:textId="4345A846" w:rsidR="00C55EDD" w:rsidRPr="005E24AB"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The controlling commissioners appear to have ignored the version of the AAN’s “Secret” ad (also called “Hiding”) targeting Rep. </w:t>
      </w:r>
      <w:proofErr w:type="spellStart"/>
      <w:r w:rsidRPr="00832834">
        <w:rPr>
          <w:sz w:val="24"/>
          <w:szCs w:val="24"/>
        </w:rPr>
        <w:t>Perlmutter</w:t>
      </w:r>
      <w:proofErr w:type="spellEnd"/>
      <w:r w:rsidRPr="00832834">
        <w:rPr>
          <w:sz w:val="24"/>
          <w:szCs w:val="24"/>
        </w:rPr>
        <w:t xml:space="preserve"> even though it was expressly referenced in Plaintiffs’ administrative complaint, Joint </w:t>
      </w:r>
      <w:proofErr w:type="spellStart"/>
      <w:r w:rsidRPr="00832834">
        <w:rPr>
          <w:sz w:val="24"/>
          <w:szCs w:val="24"/>
        </w:rPr>
        <w:t>App’x</w:t>
      </w:r>
      <w:proofErr w:type="spellEnd"/>
      <w:r w:rsidRPr="00832834">
        <w:rPr>
          <w:sz w:val="24"/>
          <w:szCs w:val="24"/>
        </w:rPr>
        <w:t xml:space="preserve"> at AR 1484 ¶ 15, and included among the ads AAN described in its response, </w:t>
      </w:r>
      <w:r w:rsidRPr="00832834">
        <w:rPr>
          <w:i/>
          <w:sz w:val="24"/>
          <w:szCs w:val="24"/>
        </w:rPr>
        <w:t>id.</w:t>
      </w:r>
      <w:r w:rsidRPr="00832834">
        <w:rPr>
          <w:sz w:val="24"/>
          <w:szCs w:val="24"/>
        </w:rPr>
        <w:t xml:space="preserve"> </w:t>
      </w:r>
      <w:proofErr w:type="gramStart"/>
      <w:r w:rsidRPr="00832834">
        <w:rPr>
          <w:sz w:val="24"/>
          <w:szCs w:val="24"/>
        </w:rPr>
        <w:t>at</w:t>
      </w:r>
      <w:proofErr w:type="gramEnd"/>
      <w:r w:rsidRPr="00832834">
        <w:rPr>
          <w:sz w:val="24"/>
          <w:szCs w:val="24"/>
        </w:rPr>
        <w:t xml:space="preserve"> AR 1590.  AAN reported spending $725,000 on the Rep. </w:t>
      </w:r>
      <w:proofErr w:type="spellStart"/>
      <w:r w:rsidRPr="00832834">
        <w:rPr>
          <w:sz w:val="24"/>
          <w:szCs w:val="24"/>
        </w:rPr>
        <w:t>Perlmutter</w:t>
      </w:r>
      <w:proofErr w:type="spellEnd"/>
      <w:r w:rsidRPr="00832834">
        <w:rPr>
          <w:sz w:val="24"/>
          <w:szCs w:val="24"/>
        </w:rPr>
        <w:t xml:space="preserve"> version of the ad.  </w:t>
      </w:r>
      <w:r w:rsidRPr="00832834">
        <w:rPr>
          <w:i/>
          <w:sz w:val="24"/>
          <w:szCs w:val="24"/>
        </w:rPr>
        <w:t>Id.</w:t>
      </w:r>
      <w:r w:rsidRPr="00832834">
        <w:rPr>
          <w:sz w:val="24"/>
          <w:szCs w:val="24"/>
        </w:rPr>
        <w:t xml:space="preserve"> at 1484 ¶ 15; </w:t>
      </w:r>
      <w:hyperlink r:id="rId1" w:history="1">
        <w:r w:rsidRPr="00832834">
          <w:rPr>
            <w:rStyle w:val="Hyperlink"/>
            <w:sz w:val="24"/>
            <w:szCs w:val="24"/>
          </w:rPr>
          <w:t>http://docquery.fec.gov/cgi-bin/fecimg/?10931541172</w:t>
        </w:r>
      </w:hyperlink>
      <w:r w:rsidRPr="00832834">
        <w:rPr>
          <w:sz w:val="24"/>
          <w:szCs w:val="24"/>
        </w:rPr>
        <w:t>.  The controlling commissioners’ failure to even reasonably account for all of AAN’s electioneering communications simply proves the haphazard and arbitrary nature of their analysis and demonstrates the need for a full investigation.</w:t>
      </w:r>
    </w:p>
  </w:footnote>
  <w:footnote w:id="5">
    <w:p w14:paraId="1C654BFC" w14:textId="5DF5B8EC" w:rsidR="00C55EDD" w:rsidRPr="00832834"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The controlling commissioners cite no other authority or basis for their test beyond </w:t>
      </w:r>
      <w:r w:rsidRPr="00832834">
        <w:rPr>
          <w:i/>
          <w:sz w:val="24"/>
          <w:szCs w:val="24"/>
        </w:rPr>
        <w:t>McConnell</w:t>
      </w:r>
      <w:r w:rsidRPr="00832834">
        <w:rPr>
          <w:sz w:val="24"/>
          <w:szCs w:val="24"/>
        </w:rPr>
        <w:t xml:space="preserve">.  While they refer to the </w:t>
      </w:r>
      <w:r w:rsidR="004A50F9">
        <w:rPr>
          <w:sz w:val="24"/>
          <w:szCs w:val="24"/>
        </w:rPr>
        <w:t xml:space="preserve">FEC’s </w:t>
      </w:r>
      <w:r w:rsidRPr="00832834">
        <w:rPr>
          <w:sz w:val="24"/>
          <w:szCs w:val="24"/>
        </w:rPr>
        <w:t>2007</w:t>
      </w:r>
      <w:r w:rsidR="004A50F9">
        <w:rPr>
          <w:sz w:val="24"/>
          <w:szCs w:val="24"/>
        </w:rPr>
        <w:t xml:space="preserve"> Supplemental Explanation and Justification </w:t>
      </w:r>
      <w:r w:rsidRPr="00832834">
        <w:rPr>
          <w:sz w:val="24"/>
          <w:szCs w:val="24"/>
        </w:rPr>
        <w:t>in a footnote, they do so only for the purpose of stating that their analysis is “fact-intensive” and for the proposition that groups can gain guidance on the FEC’s application of the test by consulting the FEC’s files.  Ex. 2 at 6 nn.24, 25</w:t>
      </w:r>
      <w:r w:rsidR="00E1555E">
        <w:rPr>
          <w:sz w:val="24"/>
          <w:szCs w:val="24"/>
        </w:rPr>
        <w:t xml:space="preserve"> (citing </w:t>
      </w:r>
      <w:r w:rsidR="00E1555E" w:rsidRPr="004800D0">
        <w:rPr>
          <w:sz w:val="24"/>
          <w:szCs w:val="24"/>
          <w:u w:val="single"/>
        </w:rPr>
        <w:t>Political Committee Status, Supplemental Explanation and Justification</w:t>
      </w:r>
      <w:r w:rsidR="00E1555E" w:rsidRPr="00E1555E">
        <w:rPr>
          <w:sz w:val="24"/>
          <w:szCs w:val="24"/>
        </w:rPr>
        <w:t>, 72 Fed. Reg. 5,595, 5,597 (Feb. 7, 2007)</w:t>
      </w:r>
      <w:r w:rsidR="00E1555E">
        <w:rPr>
          <w:sz w:val="24"/>
          <w:szCs w:val="24"/>
        </w:rPr>
        <w:t>)</w:t>
      </w:r>
      <w:r w:rsidRPr="00832834">
        <w:rPr>
          <w:sz w:val="24"/>
          <w:szCs w:val="24"/>
        </w:rPr>
        <w:t>.  They also cite 52 U.S.C. §</w:t>
      </w:r>
      <w:r w:rsidR="004A50F9">
        <w:rPr>
          <w:sz w:val="24"/>
          <w:szCs w:val="24"/>
        </w:rPr>
        <w:t> </w:t>
      </w:r>
      <w:r w:rsidRPr="00832834">
        <w:rPr>
          <w:sz w:val="24"/>
          <w:szCs w:val="24"/>
        </w:rPr>
        <w:t>30104(f)(4)(A)(</w:t>
      </w:r>
      <w:proofErr w:type="spellStart"/>
      <w:r w:rsidRPr="00832834">
        <w:rPr>
          <w:sz w:val="24"/>
          <w:szCs w:val="24"/>
        </w:rPr>
        <w:t>i</w:t>
      </w:r>
      <w:proofErr w:type="spellEnd"/>
      <w:r w:rsidRPr="00832834">
        <w:rPr>
          <w:sz w:val="24"/>
          <w:szCs w:val="24"/>
        </w:rPr>
        <w:t>)(I), Ex. 2 at 6 n.26—which Plaintiffs assume is a typo and that the controlling commissioners meant 52 U.S.C. §</w:t>
      </w:r>
      <w:r w:rsidR="00E1555E">
        <w:rPr>
          <w:sz w:val="24"/>
          <w:szCs w:val="24"/>
        </w:rPr>
        <w:t> </w:t>
      </w:r>
      <w:r w:rsidRPr="00832834">
        <w:rPr>
          <w:sz w:val="24"/>
          <w:szCs w:val="24"/>
        </w:rPr>
        <w:t>30104(f)(3)(A)(</w:t>
      </w:r>
      <w:proofErr w:type="spellStart"/>
      <w:r w:rsidRPr="00832834">
        <w:rPr>
          <w:sz w:val="24"/>
          <w:szCs w:val="24"/>
        </w:rPr>
        <w:t>i</w:t>
      </w:r>
      <w:proofErr w:type="spellEnd"/>
      <w:r w:rsidRPr="00832834">
        <w:rPr>
          <w:sz w:val="24"/>
          <w:szCs w:val="24"/>
        </w:rPr>
        <w:t>)(I) as there is no section 30104(f)(4)(A)(</w:t>
      </w:r>
      <w:proofErr w:type="spellStart"/>
      <w:r w:rsidRPr="00832834">
        <w:rPr>
          <w:sz w:val="24"/>
          <w:szCs w:val="24"/>
        </w:rPr>
        <w:t>i</w:t>
      </w:r>
      <w:proofErr w:type="spellEnd"/>
      <w:r w:rsidRPr="00832834">
        <w:rPr>
          <w:sz w:val="24"/>
          <w:szCs w:val="24"/>
        </w:rPr>
        <w:t xml:space="preserve">)(I)—but that statutory subsection merely provides one of the requirements for an ad to be deemed an electioneering communication:  that it reference a clearly identified candidate for federal office.  Accordingly, the controlling commissioners’ sole purported support for their new test is </w:t>
      </w:r>
      <w:r w:rsidRPr="00832834">
        <w:rPr>
          <w:i/>
          <w:sz w:val="24"/>
          <w:szCs w:val="24"/>
        </w:rPr>
        <w:t>McConnell</w:t>
      </w:r>
      <w:r w:rsidRPr="00832834">
        <w:rPr>
          <w:sz w:val="24"/>
          <w:szCs w:val="24"/>
        </w:rPr>
        <w:t xml:space="preserve">, which they unreasonably and impermissibly interpret.   </w:t>
      </w:r>
    </w:p>
  </w:footnote>
  <w:footnote w:id="6">
    <w:p w14:paraId="28D79984" w14:textId="36C42FA5" w:rsidR="00090788" w:rsidRDefault="00090788">
      <w:pPr>
        <w:pStyle w:val="FootnoteText"/>
      </w:pPr>
      <w:r>
        <w:rPr>
          <w:rStyle w:val="FootnoteReference"/>
        </w:rPr>
        <w:footnoteRef/>
      </w:r>
      <w:r>
        <w:t xml:space="preserve"> </w:t>
      </w:r>
      <w:r w:rsidRPr="00FB0B6A">
        <w:rPr>
          <w:sz w:val="24"/>
          <w:szCs w:val="24"/>
        </w:rPr>
        <w:t xml:space="preserve">In addition to improperly excluding most of AAN’s electioneering communications from their calculation of the group’s political spending, the controlling commissioners may have erroneously excluded another $1.1 million in unidentified political spending.  On its 2009 and 2010 Form 990 tax returns, AAN reported spending a total of $5,221,061 on political activity.  </w:t>
      </w:r>
      <w:r w:rsidRPr="00832834">
        <w:rPr>
          <w:i/>
          <w:sz w:val="24"/>
          <w:szCs w:val="24"/>
        </w:rPr>
        <w:t>See</w:t>
      </w:r>
      <w:r w:rsidRPr="00832834">
        <w:rPr>
          <w:sz w:val="24"/>
          <w:szCs w:val="24"/>
        </w:rPr>
        <w:t xml:space="preserve"> Joint </w:t>
      </w:r>
      <w:proofErr w:type="spellStart"/>
      <w:r w:rsidRPr="00832834">
        <w:rPr>
          <w:sz w:val="24"/>
          <w:szCs w:val="24"/>
        </w:rPr>
        <w:t>App’x</w:t>
      </w:r>
      <w:proofErr w:type="spellEnd"/>
      <w:r w:rsidRPr="00832834">
        <w:rPr>
          <w:sz w:val="24"/>
          <w:szCs w:val="24"/>
        </w:rPr>
        <w:t xml:space="preserve"> at AR 1598.  </w:t>
      </w:r>
      <w:r w:rsidRPr="00FB0B6A">
        <w:rPr>
          <w:sz w:val="24"/>
          <w:szCs w:val="24"/>
        </w:rPr>
        <w:t>In computing AAN’s political spending, however, the controlling commissioners started with the $4,096</w:t>
      </w:r>
      <w:r>
        <w:rPr>
          <w:sz w:val="24"/>
          <w:szCs w:val="24"/>
        </w:rPr>
        <w:t>,910 AAN reported to the FEC it</w:t>
      </w:r>
      <w:r w:rsidRPr="00FB0B6A">
        <w:rPr>
          <w:sz w:val="24"/>
          <w:szCs w:val="24"/>
        </w:rPr>
        <w:t xml:space="preserve"> spent on independent expenditures and added the $1,875,394 they assert AAN spent on electioneering communications that qualify as electoral.  Ex. 2 at 17.  The controlling commissioners</w:t>
      </w:r>
      <w:r>
        <w:rPr>
          <w:sz w:val="24"/>
          <w:szCs w:val="24"/>
        </w:rPr>
        <w:t>, however,</w:t>
      </w:r>
      <w:r w:rsidRPr="00FB0B6A">
        <w:rPr>
          <w:sz w:val="24"/>
          <w:szCs w:val="24"/>
        </w:rPr>
        <w:t xml:space="preserve"> did not address the $1,124,151 difference between the amount of political spending AAN reported to the IRS and the amount it reported spending on independent expenditures, and AAN ha</w:t>
      </w:r>
      <w:r w:rsidR="00AB24F6">
        <w:rPr>
          <w:sz w:val="24"/>
          <w:szCs w:val="24"/>
        </w:rPr>
        <w:t>s</w:t>
      </w:r>
      <w:r w:rsidRPr="00FB0B6A">
        <w:rPr>
          <w:sz w:val="24"/>
          <w:szCs w:val="24"/>
        </w:rPr>
        <w:t xml:space="preserve"> not provided any explanation for it.</w:t>
      </w:r>
      <w:r>
        <w:rPr>
          <w:sz w:val="24"/>
          <w:szCs w:val="24"/>
        </w:rPr>
        <w:t xml:space="preserve">  </w:t>
      </w:r>
      <w:r w:rsidRPr="00E17BCB">
        <w:rPr>
          <w:sz w:val="24"/>
          <w:szCs w:val="24"/>
        </w:rPr>
        <w:t xml:space="preserve">The controlling commissioners’ failure to account for </w:t>
      </w:r>
      <w:r>
        <w:rPr>
          <w:sz w:val="24"/>
          <w:szCs w:val="24"/>
        </w:rPr>
        <w:t>this spending further demonstrates the defects in their review</w:t>
      </w:r>
      <w:r w:rsidRPr="00E17BCB">
        <w:rPr>
          <w:sz w:val="24"/>
          <w:szCs w:val="24"/>
        </w:rPr>
        <w:t>.</w:t>
      </w:r>
    </w:p>
  </w:footnote>
  <w:footnote w:id="7">
    <w:p w14:paraId="618277FB" w14:textId="2840F9CA" w:rsidR="00C55EDD" w:rsidRPr="00832834"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The context of AAN’s other ads is similar.  In Connecticut, for example, AAN ran ads targeting two Democratic congressmen—Reps. Chris Murphy and Rep. Jim Himes, Ex. 2 at 13—but the record shows no ad asking Connecticut voters to contact their other representatives, even though they would vote in any lame duck session and were covered by the same broadcast markets.  </w:t>
      </w:r>
      <w:r>
        <w:rPr>
          <w:sz w:val="24"/>
          <w:szCs w:val="24"/>
        </w:rPr>
        <w:t xml:space="preserve">FCC, </w:t>
      </w:r>
      <w:r w:rsidRPr="004800D0">
        <w:rPr>
          <w:sz w:val="24"/>
          <w:szCs w:val="24"/>
          <w:u w:val="single"/>
        </w:rPr>
        <w:t>Coverage Map WTIC</w:t>
      </w:r>
      <w:r w:rsidR="003C486D">
        <w:rPr>
          <w:sz w:val="24"/>
          <w:szCs w:val="24"/>
          <w:u w:val="single"/>
        </w:rPr>
        <w:t>-TV</w:t>
      </w:r>
      <w:r w:rsidR="00D73AEA">
        <w:rPr>
          <w:sz w:val="24"/>
          <w:szCs w:val="24"/>
        </w:rPr>
        <w:t>, attached as Exhibit</w:t>
      </w:r>
      <w:r w:rsidR="003C486D">
        <w:rPr>
          <w:sz w:val="24"/>
          <w:szCs w:val="24"/>
        </w:rPr>
        <w:t xml:space="preserve"> 4</w:t>
      </w:r>
      <w:r w:rsidR="00D73AEA">
        <w:rPr>
          <w:sz w:val="24"/>
          <w:szCs w:val="24"/>
        </w:rPr>
        <w:t xml:space="preserve"> (showing coverage of WTIC-TV, station on which AAN ran its ads); Mark </w:t>
      </w:r>
      <w:proofErr w:type="spellStart"/>
      <w:r w:rsidR="00D73AEA">
        <w:rPr>
          <w:sz w:val="24"/>
          <w:szCs w:val="24"/>
        </w:rPr>
        <w:t>Pazniokas</w:t>
      </w:r>
      <w:proofErr w:type="spellEnd"/>
      <w:r w:rsidR="00D73AEA">
        <w:rPr>
          <w:sz w:val="24"/>
          <w:szCs w:val="24"/>
        </w:rPr>
        <w:t xml:space="preserve">, </w:t>
      </w:r>
      <w:r w:rsidR="00D73AEA">
        <w:rPr>
          <w:sz w:val="24"/>
          <w:szCs w:val="24"/>
          <w:u w:val="single"/>
        </w:rPr>
        <w:t>Fox Affiliate bans ad attacking Murphy</w:t>
      </w:r>
      <w:r w:rsidR="00D73AEA">
        <w:rPr>
          <w:sz w:val="24"/>
          <w:szCs w:val="24"/>
        </w:rPr>
        <w:t xml:space="preserve">, CT Mirror (Oct. 26, 2010), </w:t>
      </w:r>
      <w:r w:rsidR="00D73AEA">
        <w:rPr>
          <w:i/>
          <w:sz w:val="24"/>
          <w:szCs w:val="24"/>
        </w:rPr>
        <w:t>available at</w:t>
      </w:r>
      <w:r w:rsidR="00D73AEA">
        <w:rPr>
          <w:sz w:val="24"/>
          <w:szCs w:val="24"/>
        </w:rPr>
        <w:t xml:space="preserve"> </w:t>
      </w:r>
      <w:hyperlink r:id="rId2" w:history="1">
        <w:r w:rsidR="00D73AEA" w:rsidRPr="002F0A8A">
          <w:rPr>
            <w:rStyle w:val="Hyperlink"/>
            <w:sz w:val="24"/>
            <w:szCs w:val="24"/>
          </w:rPr>
          <w:t>http://ctmirror.org/2010/10/26/fox-affiliate-bans-ad-attacking-murphy/</w:t>
        </w:r>
      </w:hyperlink>
      <w:r w:rsidR="00D73AEA">
        <w:rPr>
          <w:sz w:val="24"/>
          <w:szCs w:val="24"/>
        </w:rPr>
        <w:t xml:space="preserve"> (discussing AAN’s ad against Rep. Murphy running on WTIC)</w:t>
      </w:r>
      <w:r w:rsidR="00B279ED">
        <w:rPr>
          <w:sz w:val="24"/>
          <w:szCs w:val="24"/>
        </w:rPr>
        <w:t>.</w:t>
      </w:r>
      <w:r w:rsidR="00D73AEA">
        <w:rPr>
          <w:sz w:val="24"/>
          <w:szCs w:val="24"/>
        </w:rPr>
        <w:t xml:space="preserve">  </w:t>
      </w:r>
      <w:r w:rsidRPr="00832834">
        <w:rPr>
          <w:sz w:val="24"/>
          <w:szCs w:val="24"/>
        </w:rPr>
        <w:t xml:space="preserve">Notably, the three other incumbent House members, all Democrats, were in safe seats, </w:t>
      </w:r>
      <w:r w:rsidRPr="00832834">
        <w:rPr>
          <w:i/>
          <w:sz w:val="24"/>
          <w:szCs w:val="24"/>
        </w:rPr>
        <w:t xml:space="preserve">see </w:t>
      </w:r>
      <w:r w:rsidRPr="00832834">
        <w:rPr>
          <w:sz w:val="24"/>
          <w:szCs w:val="24"/>
          <w:u w:val="single"/>
        </w:rPr>
        <w:t>Official Election Results</w:t>
      </w:r>
      <w:r w:rsidRPr="00832834">
        <w:rPr>
          <w:sz w:val="24"/>
          <w:szCs w:val="24"/>
        </w:rPr>
        <w:t xml:space="preserve"> 59 (showing election results of 61.25%, 59.86%, and 65.06%), and the sitting Senator, Chris Dodd, was retiring, </w:t>
      </w:r>
      <w:r w:rsidRPr="00832834">
        <w:rPr>
          <w:i/>
          <w:sz w:val="24"/>
          <w:szCs w:val="24"/>
        </w:rPr>
        <w:t xml:space="preserve">see </w:t>
      </w:r>
      <w:r w:rsidRPr="005E24AB">
        <w:rPr>
          <w:sz w:val="24"/>
          <w:szCs w:val="24"/>
        </w:rPr>
        <w:t>Chris Cillizza</w:t>
      </w:r>
      <w:r w:rsidRPr="00832834">
        <w:rPr>
          <w:sz w:val="24"/>
          <w:szCs w:val="24"/>
        </w:rPr>
        <w:t xml:space="preserve">, </w:t>
      </w:r>
      <w:r w:rsidRPr="00832834">
        <w:rPr>
          <w:sz w:val="24"/>
          <w:szCs w:val="24"/>
          <w:u w:val="single"/>
        </w:rPr>
        <w:t>Connecticut Sen. Christopher Dodd won’t seek reelection, will retire at end of term</w:t>
      </w:r>
      <w:r w:rsidRPr="00832834">
        <w:rPr>
          <w:sz w:val="24"/>
          <w:szCs w:val="24"/>
        </w:rPr>
        <w:t xml:space="preserve">, Washington Post (Jan. 6, 2010), </w:t>
      </w:r>
      <w:r w:rsidRPr="00832834">
        <w:rPr>
          <w:i/>
          <w:sz w:val="24"/>
          <w:szCs w:val="24"/>
        </w:rPr>
        <w:t>available at</w:t>
      </w:r>
      <w:r w:rsidRPr="00832834">
        <w:rPr>
          <w:sz w:val="24"/>
          <w:szCs w:val="24"/>
        </w:rPr>
        <w:t xml:space="preserve"> </w:t>
      </w:r>
      <w:hyperlink r:id="rId3" w:history="1">
        <w:r w:rsidR="003C486D" w:rsidRPr="003C486D">
          <w:rPr>
            <w:rStyle w:val="Hyperlink"/>
            <w:sz w:val="24"/>
            <w:szCs w:val="24"/>
          </w:rPr>
          <w:t>http://www.washingtonpost.com/wp-dyn/content/article/2010/01/06/AR2010010600023.html</w:t>
        </w:r>
      </w:hyperlink>
      <w:r w:rsidRPr="00832834">
        <w:rPr>
          <w:sz w:val="24"/>
          <w:szCs w:val="24"/>
        </w:rPr>
        <w:t xml:space="preserve">.  In Ohio, AAN ran the “Ridiculous” and “Read This” ads targeting Democratic Rep. Charlie Wilson, </w:t>
      </w:r>
      <w:r w:rsidRPr="00832834">
        <w:rPr>
          <w:i/>
          <w:sz w:val="24"/>
          <w:szCs w:val="24"/>
        </w:rPr>
        <w:t xml:space="preserve">see </w:t>
      </w:r>
      <w:r w:rsidRPr="00832834">
        <w:rPr>
          <w:sz w:val="24"/>
          <w:szCs w:val="24"/>
        </w:rPr>
        <w:t xml:space="preserve">Ex. 2 at 9, 13, but the record shows no ad by AAN urging Ohio voters to contact any of the state’s other House members, or their retiring Senator, George Voinovich, even though he would vote in a lame duck session, Stephen </w:t>
      </w:r>
      <w:proofErr w:type="spellStart"/>
      <w:r w:rsidRPr="00832834">
        <w:rPr>
          <w:sz w:val="24"/>
          <w:szCs w:val="24"/>
        </w:rPr>
        <w:t>Koff</w:t>
      </w:r>
      <w:proofErr w:type="spellEnd"/>
      <w:r w:rsidRPr="00832834">
        <w:rPr>
          <w:sz w:val="24"/>
          <w:szCs w:val="24"/>
        </w:rPr>
        <w:t xml:space="preserve">, </w:t>
      </w:r>
      <w:r w:rsidRPr="00832834">
        <w:rPr>
          <w:sz w:val="24"/>
          <w:szCs w:val="24"/>
          <w:u w:val="single"/>
        </w:rPr>
        <w:t>U.S. Sen. George Voinovich reflects on his career as he prepares to retire</w:t>
      </w:r>
      <w:r w:rsidRPr="00832834">
        <w:rPr>
          <w:sz w:val="24"/>
          <w:szCs w:val="24"/>
        </w:rPr>
        <w:t xml:space="preserve">, Cleveland Plain Dealer (Nov. 29, 2010), </w:t>
      </w:r>
      <w:r w:rsidRPr="00832834">
        <w:rPr>
          <w:i/>
          <w:sz w:val="24"/>
          <w:szCs w:val="24"/>
        </w:rPr>
        <w:t>available at</w:t>
      </w:r>
      <w:r w:rsidRPr="00832834">
        <w:rPr>
          <w:sz w:val="24"/>
          <w:szCs w:val="24"/>
        </w:rPr>
        <w:t xml:space="preserve"> </w:t>
      </w:r>
      <w:hyperlink r:id="rId4" w:history="1">
        <w:r w:rsidRPr="00832834">
          <w:rPr>
            <w:rStyle w:val="Hyperlink"/>
            <w:sz w:val="24"/>
            <w:szCs w:val="24"/>
          </w:rPr>
          <w:t>http://www.cleveland.com/open/index.ssf/2010/11/us_sen_george_voinovich_reflec.html</w:t>
        </w:r>
      </w:hyperlink>
      <w:r w:rsidRPr="00832834">
        <w:rPr>
          <w:sz w:val="24"/>
          <w:szCs w:val="24"/>
        </w:rPr>
        <w:t xml:space="preserve">.  Nor does the record show that AAN asked Colorado voters to contact either of their incumbent Republican congressmen, even though they exhorted voters to contact Rep. </w:t>
      </w:r>
      <w:proofErr w:type="spellStart"/>
      <w:r w:rsidRPr="00832834">
        <w:rPr>
          <w:sz w:val="24"/>
          <w:szCs w:val="24"/>
        </w:rPr>
        <w:t>Perlmutter</w:t>
      </w:r>
      <w:proofErr w:type="spellEnd"/>
      <w:r w:rsidRPr="00832834">
        <w:rPr>
          <w:sz w:val="24"/>
          <w:szCs w:val="24"/>
        </w:rPr>
        <w:t xml:space="preserve"> in the “Wallpaper,” “Skype,” and “Secret” ads.  Ex. 2 at 9, </w:t>
      </w:r>
      <w:r w:rsidR="00E73965">
        <w:rPr>
          <w:sz w:val="24"/>
          <w:szCs w:val="24"/>
        </w:rPr>
        <w:t>13–</w:t>
      </w:r>
      <w:r w:rsidRPr="00832834">
        <w:rPr>
          <w:sz w:val="24"/>
          <w:szCs w:val="24"/>
        </w:rPr>
        <w:t xml:space="preserve">14. </w:t>
      </w:r>
    </w:p>
  </w:footnote>
  <w:footnote w:id="8">
    <w:p w14:paraId="1A9C9BFC" w14:textId="5D7225B5" w:rsidR="00C55EDD" w:rsidRPr="00832834"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Though not cited by the controlling commissioners, the other measures AAN mentioned in its response to the FEC that were addressed during the lame duck session have only the most fleeting connection with their “repeal” strategy.  </w:t>
      </w:r>
      <w:r w:rsidRPr="00832834">
        <w:rPr>
          <w:i/>
          <w:sz w:val="24"/>
          <w:szCs w:val="24"/>
        </w:rPr>
        <w:t>See</w:t>
      </w:r>
      <w:r w:rsidRPr="00832834">
        <w:rPr>
          <w:sz w:val="24"/>
          <w:szCs w:val="24"/>
        </w:rPr>
        <w:t xml:space="preserve"> Joint </w:t>
      </w:r>
      <w:proofErr w:type="spellStart"/>
      <w:r w:rsidRPr="00832834">
        <w:rPr>
          <w:sz w:val="24"/>
          <w:szCs w:val="24"/>
        </w:rPr>
        <w:t>App’x</w:t>
      </w:r>
      <w:proofErr w:type="spellEnd"/>
      <w:r w:rsidRPr="00832834">
        <w:rPr>
          <w:sz w:val="24"/>
          <w:szCs w:val="24"/>
        </w:rPr>
        <w:t xml:space="preserve"> at AR 1567–70.  The only bills AAN referenced were dead-on-arrival proposals from the minority Republicans that were never apparently placed on the</w:t>
      </w:r>
      <w:r w:rsidR="00AB24F6">
        <w:rPr>
          <w:sz w:val="24"/>
          <w:szCs w:val="24"/>
        </w:rPr>
        <w:t xml:space="preserve"> House or Senate</w:t>
      </w:r>
      <w:r w:rsidRPr="00832834">
        <w:rPr>
          <w:sz w:val="24"/>
          <w:szCs w:val="24"/>
        </w:rPr>
        <w:t xml:space="preserve"> agenda</w:t>
      </w:r>
      <w:r w:rsidR="00AB24F6">
        <w:rPr>
          <w:sz w:val="24"/>
          <w:szCs w:val="24"/>
        </w:rPr>
        <w:t>s</w:t>
      </w:r>
      <w:r w:rsidRPr="00832834">
        <w:rPr>
          <w:sz w:val="24"/>
          <w:szCs w:val="24"/>
        </w:rPr>
        <w:t xml:space="preserve">, </w:t>
      </w:r>
      <w:r w:rsidRPr="00832834">
        <w:rPr>
          <w:i/>
          <w:sz w:val="24"/>
          <w:szCs w:val="24"/>
        </w:rPr>
        <w:t>id.</w:t>
      </w:r>
      <w:r w:rsidRPr="00832834">
        <w:rPr>
          <w:sz w:val="24"/>
          <w:szCs w:val="24"/>
        </w:rPr>
        <w:t xml:space="preserve"> at 1568, and votes on minor reform measures relating to paperwork reduction, a change in the availability </w:t>
      </w:r>
      <w:r w:rsidR="00AB24F6">
        <w:rPr>
          <w:sz w:val="24"/>
          <w:szCs w:val="24"/>
        </w:rPr>
        <w:t xml:space="preserve">of </w:t>
      </w:r>
      <w:r w:rsidRPr="00832834">
        <w:rPr>
          <w:sz w:val="24"/>
          <w:szCs w:val="24"/>
        </w:rPr>
        <w:t xml:space="preserve">state waivers, and a political stunt to put Republicans on the record as opposing the ban on pre-existing conditions and other popular measures, </w:t>
      </w:r>
      <w:r w:rsidRPr="00832834">
        <w:rPr>
          <w:i/>
          <w:sz w:val="24"/>
          <w:szCs w:val="24"/>
        </w:rPr>
        <w:t>id.</w:t>
      </w:r>
      <w:r w:rsidRPr="00832834">
        <w:rPr>
          <w:sz w:val="24"/>
          <w:szCs w:val="24"/>
        </w:rPr>
        <w:t xml:space="preserve"> </w:t>
      </w:r>
      <w:proofErr w:type="gramStart"/>
      <w:r w:rsidRPr="00832834">
        <w:rPr>
          <w:sz w:val="24"/>
          <w:szCs w:val="24"/>
        </w:rPr>
        <w:t>at</w:t>
      </w:r>
      <w:proofErr w:type="gramEnd"/>
      <w:r w:rsidRPr="00832834">
        <w:rPr>
          <w:sz w:val="24"/>
          <w:szCs w:val="24"/>
        </w:rPr>
        <w:t xml:space="preserve"> 1570.  None of those bills has any relation with AAN’s purported “issue” ads calling for a full repeal of Obamacare beyond the fact that they relate to health care. </w:t>
      </w:r>
    </w:p>
  </w:footnote>
  <w:footnote w:id="9">
    <w:p w14:paraId="25C50A53" w14:textId="683F7609" w:rsidR="00C55EDD" w:rsidRPr="00832834" w:rsidRDefault="00C55EDD" w:rsidP="005E24AB">
      <w:pPr>
        <w:pStyle w:val="FootnoteText"/>
        <w:spacing w:after="120"/>
        <w:rPr>
          <w:sz w:val="24"/>
          <w:szCs w:val="24"/>
        </w:rPr>
      </w:pPr>
      <w:r w:rsidRPr="00832834">
        <w:rPr>
          <w:rStyle w:val="FootnoteReference"/>
          <w:sz w:val="24"/>
          <w:szCs w:val="24"/>
        </w:rPr>
        <w:footnoteRef/>
      </w:r>
      <w:r w:rsidRPr="00832834">
        <w:rPr>
          <w:sz w:val="24"/>
          <w:szCs w:val="24"/>
        </w:rPr>
        <w:t xml:space="preserve"> Further, Congress provided the FEC with a mechanism to carve out ads that would meet this test in the event it proved over-expansive:  the FEC may adopt rules that exclude electioneering communications from regulation so long as the exempted ads don’t promote, attack, support, or oppose candidates.  </w:t>
      </w:r>
      <w:r w:rsidRPr="00832834">
        <w:rPr>
          <w:i/>
          <w:sz w:val="24"/>
          <w:szCs w:val="24"/>
        </w:rPr>
        <w:t>Id.</w:t>
      </w:r>
      <w:r w:rsidRPr="00832834">
        <w:rPr>
          <w:sz w:val="24"/>
          <w:szCs w:val="24"/>
        </w:rPr>
        <w:t xml:space="preserve"> at § 30104(f</w:t>
      </w:r>
      <w:proofErr w:type="gramStart"/>
      <w:r w:rsidRPr="00832834">
        <w:rPr>
          <w:sz w:val="24"/>
          <w:szCs w:val="24"/>
        </w:rPr>
        <w:t>)(</w:t>
      </w:r>
      <w:proofErr w:type="gramEnd"/>
      <w:r w:rsidRPr="00832834">
        <w:rPr>
          <w:sz w:val="24"/>
          <w:szCs w:val="24"/>
        </w:rPr>
        <w:t>3)(B)(iv) (incorporating 52 U.S.C. § 30101(20)(A)(iii)).   The FEC has not done so, however, and even if it had, AAN’s ads would qualify under any reasonable application of section 30101(20</w:t>
      </w:r>
      <w:proofErr w:type="gramStart"/>
      <w:r w:rsidRPr="00832834">
        <w:rPr>
          <w:sz w:val="24"/>
          <w:szCs w:val="24"/>
        </w:rPr>
        <w:t>)(</w:t>
      </w:r>
      <w:proofErr w:type="gramEnd"/>
      <w:r w:rsidRPr="00832834">
        <w:rPr>
          <w:sz w:val="24"/>
          <w:szCs w:val="24"/>
        </w:rPr>
        <w:t xml:space="preserve">A)(iii).  </w:t>
      </w:r>
    </w:p>
  </w:footnote>
  <w:footnote w:id="10">
    <w:p w14:paraId="269F473D" w14:textId="51713CA4" w:rsidR="00C55EDD" w:rsidRPr="009C5F77" w:rsidRDefault="00C55EDD" w:rsidP="00011699">
      <w:pPr>
        <w:pStyle w:val="FootnoteText"/>
        <w:spacing w:after="120"/>
        <w:rPr>
          <w:sz w:val="24"/>
          <w:szCs w:val="24"/>
        </w:rPr>
      </w:pPr>
      <w:r w:rsidRPr="005E24AB">
        <w:rPr>
          <w:rStyle w:val="FootnoteReference"/>
          <w:sz w:val="24"/>
          <w:szCs w:val="24"/>
        </w:rPr>
        <w:footnoteRef/>
      </w:r>
      <w:r w:rsidRPr="005E24AB">
        <w:rPr>
          <w:sz w:val="24"/>
          <w:szCs w:val="24"/>
        </w:rPr>
        <w:t xml:space="preserve"> </w:t>
      </w:r>
      <w:r>
        <w:rPr>
          <w:sz w:val="24"/>
          <w:szCs w:val="24"/>
        </w:rPr>
        <w:t xml:space="preserve"> In addition to misinterpreting </w:t>
      </w:r>
      <w:r w:rsidRPr="00011699">
        <w:rPr>
          <w:i/>
          <w:sz w:val="24"/>
          <w:szCs w:val="24"/>
        </w:rPr>
        <w:t>Buckley</w:t>
      </w:r>
      <w:r>
        <w:rPr>
          <w:sz w:val="24"/>
          <w:szCs w:val="24"/>
        </w:rPr>
        <w:t xml:space="preserve"> and the Court’s judgment in an attempt to justify their </w:t>
      </w:r>
      <w:r w:rsidR="00C93DD5">
        <w:rPr>
          <w:sz w:val="24"/>
          <w:szCs w:val="24"/>
        </w:rPr>
        <w:t>decision to hamstring the FECA</w:t>
      </w:r>
      <w:r>
        <w:rPr>
          <w:sz w:val="24"/>
          <w:szCs w:val="24"/>
        </w:rPr>
        <w:t xml:space="preserve">, the controlling commissioners make an obscure appeal to their interpretation of circuit precedent.  </w:t>
      </w:r>
      <w:r w:rsidRPr="00011699">
        <w:rPr>
          <w:sz w:val="24"/>
          <w:szCs w:val="24"/>
        </w:rPr>
        <w:t>The</w:t>
      </w:r>
      <w:r w:rsidRPr="005E24AB">
        <w:rPr>
          <w:sz w:val="24"/>
          <w:szCs w:val="24"/>
        </w:rPr>
        <w:t xml:space="preserve"> controlling commissioners state that, “[a]</w:t>
      </w:r>
      <w:proofErr w:type="spellStart"/>
      <w:r w:rsidRPr="00832834">
        <w:rPr>
          <w:sz w:val="24"/>
          <w:szCs w:val="24"/>
        </w:rPr>
        <w:t>lthough</w:t>
      </w:r>
      <w:proofErr w:type="spellEnd"/>
      <w:r w:rsidRPr="00832834">
        <w:rPr>
          <w:sz w:val="24"/>
          <w:szCs w:val="24"/>
        </w:rPr>
        <w:t xml:space="preserve"> several federal circuit court decisions have addressed the outer constitutional limits of state disclosure laws, [they] d</w:t>
      </w:r>
      <w:r w:rsidR="008463C7">
        <w:rPr>
          <w:sz w:val="24"/>
          <w:szCs w:val="24"/>
        </w:rPr>
        <w:t>id</w:t>
      </w:r>
      <w:r w:rsidRPr="00832834">
        <w:rPr>
          <w:sz w:val="24"/>
          <w:szCs w:val="24"/>
        </w:rPr>
        <w:t xml:space="preserve"> not understand those decisions to compel [them] to go to the same outer limit</w:t>
      </w:r>
      <w:r w:rsidR="008463C7">
        <w:rPr>
          <w:sz w:val="24"/>
          <w:szCs w:val="24"/>
        </w:rPr>
        <w:t>s</w:t>
      </w:r>
      <w:r w:rsidRPr="00832834">
        <w:rPr>
          <w:sz w:val="24"/>
          <w:szCs w:val="24"/>
        </w:rPr>
        <w:t xml:space="preserve"> in implementing the Act’s disclosure regimes.”  Ex. 2 at 4 n.13.</w:t>
      </w:r>
      <w:r>
        <w:rPr>
          <w:sz w:val="24"/>
          <w:szCs w:val="24"/>
        </w:rPr>
        <w:t xml:space="preserve">  Of course, as the Court found, what the circuit decisions </w:t>
      </w:r>
      <w:r>
        <w:rPr>
          <w:i/>
          <w:sz w:val="24"/>
          <w:szCs w:val="24"/>
        </w:rPr>
        <w:t>do</w:t>
      </w:r>
      <w:r>
        <w:rPr>
          <w:sz w:val="24"/>
          <w:szCs w:val="24"/>
        </w:rPr>
        <w:t xml:space="preserve"> compel is the conclusion that the controlling commissioners’ refusal to consider non-express advocacy as electoral was contrary to law.  Mem. Op. at 18–19</w:t>
      </w:r>
      <w:r w:rsidR="008463C7">
        <w:rPr>
          <w:sz w:val="24"/>
          <w:szCs w:val="24"/>
        </w:rPr>
        <w:t>,</w:t>
      </w:r>
      <w:r>
        <w:rPr>
          <w:sz w:val="24"/>
          <w:szCs w:val="24"/>
        </w:rPr>
        <w:t xml:space="preserve"> 22.  Thus, even if the cases do not compel the controlling commissioners to go to the “outer constitutional limits” in “implementing the Act’s disclosure regimes,” </w:t>
      </w:r>
      <w:r>
        <w:rPr>
          <w:i/>
          <w:sz w:val="24"/>
          <w:szCs w:val="24"/>
        </w:rPr>
        <w:t xml:space="preserve">cf. </w:t>
      </w:r>
      <w:r>
        <w:rPr>
          <w:sz w:val="24"/>
          <w:szCs w:val="24"/>
        </w:rPr>
        <w:t>Ex. 2 at 4 n.</w:t>
      </w:r>
      <w:r w:rsidR="008463C7">
        <w:rPr>
          <w:sz w:val="24"/>
          <w:szCs w:val="24"/>
        </w:rPr>
        <w:t>13</w:t>
      </w:r>
      <w:r>
        <w:rPr>
          <w:sz w:val="24"/>
          <w:szCs w:val="24"/>
        </w:rPr>
        <w:t xml:space="preserve">, they squarely reject the controlling commissioners’ refusal to implement the Act’s disclosure regime to the </w:t>
      </w:r>
      <w:r w:rsidR="00C93DD5">
        <w:rPr>
          <w:sz w:val="24"/>
          <w:szCs w:val="24"/>
        </w:rPr>
        <w:t>extent</w:t>
      </w:r>
      <w:r>
        <w:rPr>
          <w:sz w:val="24"/>
          <w:szCs w:val="24"/>
        </w:rPr>
        <w:t xml:space="preserve"> the statute</w:t>
      </w:r>
      <w:r w:rsidR="00C93DD5">
        <w:rPr>
          <w:sz w:val="24"/>
          <w:szCs w:val="24"/>
        </w:rPr>
        <w:t xml:space="preserve"> plainly proscribes</w:t>
      </w:r>
      <w:r>
        <w:rPr>
          <w:sz w:val="24"/>
          <w:szCs w:val="24"/>
        </w:rPr>
        <w:t>.  After all, it is not judicial precedent which compels disclosure</w:t>
      </w:r>
      <w:r w:rsidR="00AB24F6">
        <w:rPr>
          <w:sz w:val="24"/>
          <w:szCs w:val="24"/>
        </w:rPr>
        <w:t>;</w:t>
      </w:r>
      <w:r>
        <w:rPr>
          <w:sz w:val="24"/>
          <w:szCs w:val="24"/>
        </w:rPr>
        <w:t xml:space="preserve"> it is the FECA, and t</w:t>
      </w:r>
      <w:r w:rsidRPr="00832834">
        <w:rPr>
          <w:sz w:val="24"/>
          <w:szCs w:val="24"/>
        </w:rPr>
        <w:t xml:space="preserve">here is no dispute that under the plain terms of the FECA, AAN and AJS meet the statutory test to qualify as political committees.  Mem. Op. at 7.  </w:t>
      </w:r>
      <w:r>
        <w:rPr>
          <w:sz w:val="24"/>
          <w:szCs w:val="24"/>
        </w:rPr>
        <w:t>Neither Plaintiffs nor the Court have called on t</w:t>
      </w:r>
      <w:r w:rsidRPr="00832834">
        <w:rPr>
          <w:sz w:val="24"/>
          <w:szCs w:val="24"/>
        </w:rPr>
        <w:t xml:space="preserve">he FEC </w:t>
      </w:r>
      <w:r>
        <w:rPr>
          <w:sz w:val="24"/>
          <w:szCs w:val="24"/>
        </w:rPr>
        <w:t>t</w:t>
      </w:r>
      <w:r w:rsidRPr="00832834">
        <w:rPr>
          <w:sz w:val="24"/>
          <w:szCs w:val="24"/>
        </w:rPr>
        <w:t xml:space="preserve">o go any further than the FECA commands.  </w:t>
      </w:r>
      <w:r>
        <w:rPr>
          <w:sz w:val="24"/>
          <w:szCs w:val="24"/>
        </w:rPr>
        <w:t>But neither does judicial precedent nor the Constitution justify the controlling commissioners’ refusal to do as the FECA command</w:t>
      </w:r>
      <w:r w:rsidR="00437BD3">
        <w:rPr>
          <w:sz w:val="24"/>
          <w:szCs w:val="24"/>
        </w:rPr>
        <w:t>s</w:t>
      </w:r>
      <w:r>
        <w:rPr>
          <w:sz w:val="24"/>
          <w:szCs w:val="24"/>
        </w:rPr>
        <w:t>.  Consequently, their refusal to carry out the FECA according to its plain terms is contrary to law</w:t>
      </w:r>
      <w:r w:rsidR="00C93DD5">
        <w:rPr>
          <w:sz w:val="24"/>
          <w:szCs w:val="24"/>
        </w:rPr>
        <w:t xml:space="preserve"> and contrary to the Court’s judgment</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856"/>
    <w:multiLevelType w:val="hybridMultilevel"/>
    <w:tmpl w:val="89E46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77607"/>
    <w:multiLevelType w:val="hybridMultilevel"/>
    <w:tmpl w:val="FA8EC6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724F0"/>
    <w:multiLevelType w:val="hybridMultilevel"/>
    <w:tmpl w:val="B9CAF2DA"/>
    <w:lvl w:ilvl="0" w:tplc="3C528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F388A"/>
    <w:multiLevelType w:val="hybridMultilevel"/>
    <w:tmpl w:val="A2C0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6046E"/>
    <w:multiLevelType w:val="hybridMultilevel"/>
    <w:tmpl w:val="7B76C3E8"/>
    <w:lvl w:ilvl="0" w:tplc="E1AAF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6B7822"/>
    <w:multiLevelType w:val="hybridMultilevel"/>
    <w:tmpl w:val="A6406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43374"/>
    <w:multiLevelType w:val="hybridMultilevel"/>
    <w:tmpl w:val="4EA8D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641F31"/>
    <w:multiLevelType w:val="hybridMultilevel"/>
    <w:tmpl w:val="E2DA522E"/>
    <w:lvl w:ilvl="0" w:tplc="3ECC8194">
      <w:start w:val="1"/>
      <w:numFmt w:val="upperLetter"/>
      <w:pStyle w:val="Heading3"/>
      <w:lvlText w:val="%1."/>
      <w:lvlJc w:val="left"/>
      <w:pPr>
        <w:ind w:left="1080" w:hanging="360"/>
      </w:pPr>
      <w:rPr>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937D2"/>
    <w:multiLevelType w:val="hybridMultilevel"/>
    <w:tmpl w:val="47D2C7C2"/>
    <w:lvl w:ilvl="0" w:tplc="F5E2A022">
      <w:start w:val="1"/>
      <w:numFmt w:val="upperRoman"/>
      <w:pStyle w:val="Heading2"/>
      <w:lvlText w:val="%1."/>
      <w:lvlJc w:val="right"/>
      <w:pPr>
        <w:ind w:left="360" w:hanging="360"/>
      </w:pPr>
    </w:lvl>
    <w:lvl w:ilvl="1" w:tplc="B186DEF0">
      <w:start w:val="1"/>
      <w:numFmt w:val="lowerLetter"/>
      <w:lvlText w:val="%2."/>
      <w:lvlJc w:val="left"/>
      <w:pPr>
        <w:ind w:left="1080" w:hanging="360"/>
      </w:pPr>
    </w:lvl>
    <w:lvl w:ilvl="2" w:tplc="FC96BAD4">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AA459C"/>
    <w:multiLevelType w:val="hybridMultilevel"/>
    <w:tmpl w:val="5D4A4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0B1260"/>
    <w:multiLevelType w:val="hybridMultilevel"/>
    <w:tmpl w:val="753CDCEE"/>
    <w:lvl w:ilvl="0" w:tplc="36801D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D4E36"/>
    <w:multiLevelType w:val="hybridMultilevel"/>
    <w:tmpl w:val="6B96C7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C877F5"/>
    <w:multiLevelType w:val="hybridMultilevel"/>
    <w:tmpl w:val="8E70D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654B9"/>
    <w:multiLevelType w:val="hybridMultilevel"/>
    <w:tmpl w:val="1ECE1F74"/>
    <w:lvl w:ilvl="0" w:tplc="8A5697F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1B7683"/>
    <w:multiLevelType w:val="hybridMultilevel"/>
    <w:tmpl w:val="A42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A225B"/>
    <w:multiLevelType w:val="hybridMultilevel"/>
    <w:tmpl w:val="3CE8E766"/>
    <w:lvl w:ilvl="0" w:tplc="0409000F">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571F86"/>
    <w:multiLevelType w:val="hybridMultilevel"/>
    <w:tmpl w:val="3C841068"/>
    <w:lvl w:ilvl="0" w:tplc="F48C20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5267B"/>
    <w:multiLevelType w:val="hybridMultilevel"/>
    <w:tmpl w:val="9B9A0C3A"/>
    <w:lvl w:ilvl="0" w:tplc="1728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0"/>
  </w:num>
  <w:num w:numId="5">
    <w:abstractNumId w:val="11"/>
  </w:num>
  <w:num w:numId="6">
    <w:abstractNumId w:val="9"/>
  </w:num>
  <w:num w:numId="7">
    <w:abstractNumId w:val="14"/>
  </w:num>
  <w:num w:numId="8">
    <w:abstractNumId w:val="10"/>
  </w:num>
  <w:num w:numId="9">
    <w:abstractNumId w:val="10"/>
    <w:lvlOverride w:ilvl="0">
      <w:startOverride w:val="1"/>
    </w:lvlOverride>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16"/>
  </w:num>
  <w:num w:numId="15">
    <w:abstractNumId w:val="1"/>
  </w:num>
  <w:num w:numId="16">
    <w:abstractNumId w:val="8"/>
  </w:num>
  <w:num w:numId="17">
    <w:abstractNumId w:val="8"/>
    <w:lvlOverride w:ilvl="0">
      <w:startOverride w:val="1"/>
    </w:lvlOverride>
  </w:num>
  <w:num w:numId="18">
    <w:abstractNumId w:val="4"/>
  </w:num>
  <w:num w:numId="19">
    <w:abstractNumId w:val="3"/>
  </w:num>
  <w:num w:numId="20">
    <w:abstractNumId w:val="12"/>
  </w:num>
  <w:num w:numId="21">
    <w:abstractNumId w:val="15"/>
  </w:num>
  <w:num w:numId="22">
    <w:abstractNumId w:val="7"/>
    <w:lvlOverride w:ilvl="0">
      <w:startOverride w:val="1"/>
    </w:lvlOverride>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4"/>
    <w:rsid w:val="000000D5"/>
    <w:rsid w:val="00001DD9"/>
    <w:rsid w:val="000020EB"/>
    <w:rsid w:val="00004D6D"/>
    <w:rsid w:val="00005CC1"/>
    <w:rsid w:val="0000677E"/>
    <w:rsid w:val="00007081"/>
    <w:rsid w:val="000102F2"/>
    <w:rsid w:val="00011078"/>
    <w:rsid w:val="00011479"/>
    <w:rsid w:val="00011699"/>
    <w:rsid w:val="00011832"/>
    <w:rsid w:val="00014F47"/>
    <w:rsid w:val="000150F4"/>
    <w:rsid w:val="000151B1"/>
    <w:rsid w:val="000168AD"/>
    <w:rsid w:val="00016ECB"/>
    <w:rsid w:val="00020516"/>
    <w:rsid w:val="0002463A"/>
    <w:rsid w:val="00024A82"/>
    <w:rsid w:val="00024E88"/>
    <w:rsid w:val="00030101"/>
    <w:rsid w:val="00030483"/>
    <w:rsid w:val="00032198"/>
    <w:rsid w:val="00032767"/>
    <w:rsid w:val="00033002"/>
    <w:rsid w:val="00033080"/>
    <w:rsid w:val="00033138"/>
    <w:rsid w:val="00034D6D"/>
    <w:rsid w:val="00035A74"/>
    <w:rsid w:val="00035AB2"/>
    <w:rsid w:val="00035E3D"/>
    <w:rsid w:val="00036202"/>
    <w:rsid w:val="00041F8B"/>
    <w:rsid w:val="000433D5"/>
    <w:rsid w:val="000435A2"/>
    <w:rsid w:val="000452DD"/>
    <w:rsid w:val="00045AC2"/>
    <w:rsid w:val="00051ADD"/>
    <w:rsid w:val="0005212F"/>
    <w:rsid w:val="00052CD3"/>
    <w:rsid w:val="00055F3A"/>
    <w:rsid w:val="00057710"/>
    <w:rsid w:val="00060830"/>
    <w:rsid w:val="000615D1"/>
    <w:rsid w:val="00061641"/>
    <w:rsid w:val="00063AE6"/>
    <w:rsid w:val="00063B8E"/>
    <w:rsid w:val="00063FA1"/>
    <w:rsid w:val="00064217"/>
    <w:rsid w:val="00067461"/>
    <w:rsid w:val="00070541"/>
    <w:rsid w:val="00071230"/>
    <w:rsid w:val="0007302E"/>
    <w:rsid w:val="0007347A"/>
    <w:rsid w:val="0007422E"/>
    <w:rsid w:val="00075A18"/>
    <w:rsid w:val="00075A27"/>
    <w:rsid w:val="0007631C"/>
    <w:rsid w:val="000774E2"/>
    <w:rsid w:val="00077DE9"/>
    <w:rsid w:val="000801C9"/>
    <w:rsid w:val="0008065A"/>
    <w:rsid w:val="00083822"/>
    <w:rsid w:val="000858FC"/>
    <w:rsid w:val="00087973"/>
    <w:rsid w:val="00087FC9"/>
    <w:rsid w:val="00090788"/>
    <w:rsid w:val="000931E5"/>
    <w:rsid w:val="000955E9"/>
    <w:rsid w:val="00097CB9"/>
    <w:rsid w:val="000A1252"/>
    <w:rsid w:val="000A23BB"/>
    <w:rsid w:val="000A3E44"/>
    <w:rsid w:val="000A41A8"/>
    <w:rsid w:val="000A4399"/>
    <w:rsid w:val="000A45CA"/>
    <w:rsid w:val="000A4970"/>
    <w:rsid w:val="000A49AE"/>
    <w:rsid w:val="000A4C35"/>
    <w:rsid w:val="000A6E1D"/>
    <w:rsid w:val="000B0DAE"/>
    <w:rsid w:val="000B129E"/>
    <w:rsid w:val="000B1DA5"/>
    <w:rsid w:val="000B1E22"/>
    <w:rsid w:val="000C08B9"/>
    <w:rsid w:val="000C092B"/>
    <w:rsid w:val="000C192D"/>
    <w:rsid w:val="000C3508"/>
    <w:rsid w:val="000C3C2D"/>
    <w:rsid w:val="000C5938"/>
    <w:rsid w:val="000C66DD"/>
    <w:rsid w:val="000C6BC9"/>
    <w:rsid w:val="000C73E4"/>
    <w:rsid w:val="000D3B53"/>
    <w:rsid w:val="000D46B3"/>
    <w:rsid w:val="000D636A"/>
    <w:rsid w:val="000E4317"/>
    <w:rsid w:val="000E543D"/>
    <w:rsid w:val="000E761B"/>
    <w:rsid w:val="000F02CC"/>
    <w:rsid w:val="000F42FB"/>
    <w:rsid w:val="000F443A"/>
    <w:rsid w:val="000F58CA"/>
    <w:rsid w:val="000F69BF"/>
    <w:rsid w:val="00100D34"/>
    <w:rsid w:val="00101968"/>
    <w:rsid w:val="00103C66"/>
    <w:rsid w:val="00104600"/>
    <w:rsid w:val="00107249"/>
    <w:rsid w:val="00112722"/>
    <w:rsid w:val="0011765F"/>
    <w:rsid w:val="0011792D"/>
    <w:rsid w:val="001203F5"/>
    <w:rsid w:val="001204C2"/>
    <w:rsid w:val="001242C7"/>
    <w:rsid w:val="00125EF0"/>
    <w:rsid w:val="00126839"/>
    <w:rsid w:val="00127CBC"/>
    <w:rsid w:val="0013066E"/>
    <w:rsid w:val="001318CF"/>
    <w:rsid w:val="00132F67"/>
    <w:rsid w:val="00133E41"/>
    <w:rsid w:val="00136B67"/>
    <w:rsid w:val="00137488"/>
    <w:rsid w:val="00140007"/>
    <w:rsid w:val="00140EB4"/>
    <w:rsid w:val="0014335C"/>
    <w:rsid w:val="0014388D"/>
    <w:rsid w:val="00145D71"/>
    <w:rsid w:val="00146CF9"/>
    <w:rsid w:val="00146D9F"/>
    <w:rsid w:val="00150480"/>
    <w:rsid w:val="00151954"/>
    <w:rsid w:val="00152000"/>
    <w:rsid w:val="00152CE1"/>
    <w:rsid w:val="001534EF"/>
    <w:rsid w:val="00155662"/>
    <w:rsid w:val="00157A98"/>
    <w:rsid w:val="00157DE3"/>
    <w:rsid w:val="00157FF8"/>
    <w:rsid w:val="00161E03"/>
    <w:rsid w:val="0016238D"/>
    <w:rsid w:val="00162C81"/>
    <w:rsid w:val="001633DE"/>
    <w:rsid w:val="0016392F"/>
    <w:rsid w:val="00164864"/>
    <w:rsid w:val="00164C6E"/>
    <w:rsid w:val="00165805"/>
    <w:rsid w:val="00167A88"/>
    <w:rsid w:val="00170369"/>
    <w:rsid w:val="0017164B"/>
    <w:rsid w:val="00171DAD"/>
    <w:rsid w:val="001723B1"/>
    <w:rsid w:val="001748E4"/>
    <w:rsid w:val="00175176"/>
    <w:rsid w:val="00175F7E"/>
    <w:rsid w:val="001820EB"/>
    <w:rsid w:val="0018278E"/>
    <w:rsid w:val="00183E00"/>
    <w:rsid w:val="00186F87"/>
    <w:rsid w:val="00187AAB"/>
    <w:rsid w:val="00191A18"/>
    <w:rsid w:val="00192CA7"/>
    <w:rsid w:val="00196671"/>
    <w:rsid w:val="001973A3"/>
    <w:rsid w:val="00197A57"/>
    <w:rsid w:val="001A2B2D"/>
    <w:rsid w:val="001A38E0"/>
    <w:rsid w:val="001A4243"/>
    <w:rsid w:val="001A4C31"/>
    <w:rsid w:val="001A50F1"/>
    <w:rsid w:val="001A52D0"/>
    <w:rsid w:val="001A5CC5"/>
    <w:rsid w:val="001A683E"/>
    <w:rsid w:val="001A7199"/>
    <w:rsid w:val="001B0082"/>
    <w:rsid w:val="001B1010"/>
    <w:rsid w:val="001B10BB"/>
    <w:rsid w:val="001B133A"/>
    <w:rsid w:val="001B1389"/>
    <w:rsid w:val="001B2B2B"/>
    <w:rsid w:val="001B3E18"/>
    <w:rsid w:val="001B3F81"/>
    <w:rsid w:val="001B4813"/>
    <w:rsid w:val="001B5926"/>
    <w:rsid w:val="001C0513"/>
    <w:rsid w:val="001C0792"/>
    <w:rsid w:val="001C2961"/>
    <w:rsid w:val="001C2D2F"/>
    <w:rsid w:val="001C5CB3"/>
    <w:rsid w:val="001C681B"/>
    <w:rsid w:val="001D135F"/>
    <w:rsid w:val="001D466F"/>
    <w:rsid w:val="001D4AC4"/>
    <w:rsid w:val="001D4CFF"/>
    <w:rsid w:val="001D7477"/>
    <w:rsid w:val="001E0688"/>
    <w:rsid w:val="001E2EB3"/>
    <w:rsid w:val="001E3EB7"/>
    <w:rsid w:val="001E427F"/>
    <w:rsid w:val="001E4D09"/>
    <w:rsid w:val="001E5F12"/>
    <w:rsid w:val="001E6A7A"/>
    <w:rsid w:val="001E6F93"/>
    <w:rsid w:val="001F0CEB"/>
    <w:rsid w:val="001F0F62"/>
    <w:rsid w:val="001F1A2B"/>
    <w:rsid w:val="001F23E6"/>
    <w:rsid w:val="001F3939"/>
    <w:rsid w:val="001F4FF3"/>
    <w:rsid w:val="001F5338"/>
    <w:rsid w:val="001F6F72"/>
    <w:rsid w:val="001F7ED9"/>
    <w:rsid w:val="002003FB"/>
    <w:rsid w:val="002010E5"/>
    <w:rsid w:val="002014E0"/>
    <w:rsid w:val="00204190"/>
    <w:rsid w:val="0020467F"/>
    <w:rsid w:val="00210D53"/>
    <w:rsid w:val="0021111D"/>
    <w:rsid w:val="00213DA4"/>
    <w:rsid w:val="0021546E"/>
    <w:rsid w:val="00215A07"/>
    <w:rsid w:val="00216F3B"/>
    <w:rsid w:val="00217394"/>
    <w:rsid w:val="00220506"/>
    <w:rsid w:val="00221DA3"/>
    <w:rsid w:val="002224EC"/>
    <w:rsid w:val="00223153"/>
    <w:rsid w:val="0022500C"/>
    <w:rsid w:val="00225473"/>
    <w:rsid w:val="00225868"/>
    <w:rsid w:val="00226DB8"/>
    <w:rsid w:val="002270FA"/>
    <w:rsid w:val="00227221"/>
    <w:rsid w:val="00227C0E"/>
    <w:rsid w:val="00227F1A"/>
    <w:rsid w:val="002323EC"/>
    <w:rsid w:val="00232C0A"/>
    <w:rsid w:val="00233399"/>
    <w:rsid w:val="00235357"/>
    <w:rsid w:val="0023545C"/>
    <w:rsid w:val="00235464"/>
    <w:rsid w:val="00236274"/>
    <w:rsid w:val="0023742D"/>
    <w:rsid w:val="002413B3"/>
    <w:rsid w:val="0024351A"/>
    <w:rsid w:val="002435F7"/>
    <w:rsid w:val="002461A0"/>
    <w:rsid w:val="00250087"/>
    <w:rsid w:val="00252025"/>
    <w:rsid w:val="00252125"/>
    <w:rsid w:val="00252893"/>
    <w:rsid w:val="00252FFA"/>
    <w:rsid w:val="0025396D"/>
    <w:rsid w:val="00254429"/>
    <w:rsid w:val="002545D9"/>
    <w:rsid w:val="00260129"/>
    <w:rsid w:val="00261E7E"/>
    <w:rsid w:val="00272315"/>
    <w:rsid w:val="0027316E"/>
    <w:rsid w:val="0027361F"/>
    <w:rsid w:val="00276AC7"/>
    <w:rsid w:val="00276D06"/>
    <w:rsid w:val="00277232"/>
    <w:rsid w:val="002801B5"/>
    <w:rsid w:val="00280460"/>
    <w:rsid w:val="00281876"/>
    <w:rsid w:val="00281958"/>
    <w:rsid w:val="00281D8F"/>
    <w:rsid w:val="00284C46"/>
    <w:rsid w:val="002852F7"/>
    <w:rsid w:val="00285E9A"/>
    <w:rsid w:val="002906CA"/>
    <w:rsid w:val="00290704"/>
    <w:rsid w:val="00290F5E"/>
    <w:rsid w:val="0029288A"/>
    <w:rsid w:val="0029291F"/>
    <w:rsid w:val="00294AC9"/>
    <w:rsid w:val="00294DEE"/>
    <w:rsid w:val="00295E76"/>
    <w:rsid w:val="00297F53"/>
    <w:rsid w:val="002A02E2"/>
    <w:rsid w:val="002A1024"/>
    <w:rsid w:val="002A136B"/>
    <w:rsid w:val="002A1547"/>
    <w:rsid w:val="002A16AC"/>
    <w:rsid w:val="002A2370"/>
    <w:rsid w:val="002A3845"/>
    <w:rsid w:val="002A3F3A"/>
    <w:rsid w:val="002A4E60"/>
    <w:rsid w:val="002B08B7"/>
    <w:rsid w:val="002B1A1F"/>
    <w:rsid w:val="002B216A"/>
    <w:rsid w:val="002B2DE2"/>
    <w:rsid w:val="002B3C1C"/>
    <w:rsid w:val="002B44AD"/>
    <w:rsid w:val="002B5E97"/>
    <w:rsid w:val="002B6276"/>
    <w:rsid w:val="002C05A4"/>
    <w:rsid w:val="002C135C"/>
    <w:rsid w:val="002C16BC"/>
    <w:rsid w:val="002C35AB"/>
    <w:rsid w:val="002C45D8"/>
    <w:rsid w:val="002C4E9F"/>
    <w:rsid w:val="002C570B"/>
    <w:rsid w:val="002C5EC9"/>
    <w:rsid w:val="002C5FEC"/>
    <w:rsid w:val="002C6311"/>
    <w:rsid w:val="002C7F3A"/>
    <w:rsid w:val="002D2136"/>
    <w:rsid w:val="002D51A0"/>
    <w:rsid w:val="002D5BBB"/>
    <w:rsid w:val="002D6264"/>
    <w:rsid w:val="002D6740"/>
    <w:rsid w:val="002D7773"/>
    <w:rsid w:val="002D7A6E"/>
    <w:rsid w:val="002E17A0"/>
    <w:rsid w:val="002E19B9"/>
    <w:rsid w:val="002E3470"/>
    <w:rsid w:val="002E390E"/>
    <w:rsid w:val="002E6A5F"/>
    <w:rsid w:val="002E7FDC"/>
    <w:rsid w:val="002F18D2"/>
    <w:rsid w:val="002F1FC7"/>
    <w:rsid w:val="002F26E2"/>
    <w:rsid w:val="002F313B"/>
    <w:rsid w:val="002F336E"/>
    <w:rsid w:val="002F3561"/>
    <w:rsid w:val="002F5C05"/>
    <w:rsid w:val="002F6DA1"/>
    <w:rsid w:val="002F761C"/>
    <w:rsid w:val="003001F6"/>
    <w:rsid w:val="0030213C"/>
    <w:rsid w:val="00303012"/>
    <w:rsid w:val="00304DD4"/>
    <w:rsid w:val="003052AB"/>
    <w:rsid w:val="00305573"/>
    <w:rsid w:val="00307100"/>
    <w:rsid w:val="00310064"/>
    <w:rsid w:val="00311350"/>
    <w:rsid w:val="00314CFC"/>
    <w:rsid w:val="003157D7"/>
    <w:rsid w:val="003159FA"/>
    <w:rsid w:val="00315BAC"/>
    <w:rsid w:val="00315F0D"/>
    <w:rsid w:val="00315F35"/>
    <w:rsid w:val="00316C06"/>
    <w:rsid w:val="00320E71"/>
    <w:rsid w:val="00323AFF"/>
    <w:rsid w:val="003240F3"/>
    <w:rsid w:val="00324337"/>
    <w:rsid w:val="0032582C"/>
    <w:rsid w:val="00326D65"/>
    <w:rsid w:val="00327FAD"/>
    <w:rsid w:val="0033185B"/>
    <w:rsid w:val="0033253E"/>
    <w:rsid w:val="003330AD"/>
    <w:rsid w:val="003338A0"/>
    <w:rsid w:val="00335024"/>
    <w:rsid w:val="0033730A"/>
    <w:rsid w:val="00340ED1"/>
    <w:rsid w:val="003414B4"/>
    <w:rsid w:val="00342C22"/>
    <w:rsid w:val="00343250"/>
    <w:rsid w:val="00343272"/>
    <w:rsid w:val="003453B2"/>
    <w:rsid w:val="00345A9F"/>
    <w:rsid w:val="00345D64"/>
    <w:rsid w:val="00346614"/>
    <w:rsid w:val="00350786"/>
    <w:rsid w:val="003525AD"/>
    <w:rsid w:val="00355453"/>
    <w:rsid w:val="00355771"/>
    <w:rsid w:val="003558AF"/>
    <w:rsid w:val="00360313"/>
    <w:rsid w:val="00360C7A"/>
    <w:rsid w:val="00360CD5"/>
    <w:rsid w:val="00360F57"/>
    <w:rsid w:val="003613A0"/>
    <w:rsid w:val="00361BF4"/>
    <w:rsid w:val="003626ED"/>
    <w:rsid w:val="00363F8B"/>
    <w:rsid w:val="003642E0"/>
    <w:rsid w:val="0036511B"/>
    <w:rsid w:val="00365F00"/>
    <w:rsid w:val="00366009"/>
    <w:rsid w:val="003667B9"/>
    <w:rsid w:val="0036699E"/>
    <w:rsid w:val="00367A39"/>
    <w:rsid w:val="00372515"/>
    <w:rsid w:val="003728AE"/>
    <w:rsid w:val="00373615"/>
    <w:rsid w:val="00373CE9"/>
    <w:rsid w:val="00375EA1"/>
    <w:rsid w:val="00380603"/>
    <w:rsid w:val="00381C5F"/>
    <w:rsid w:val="0038245B"/>
    <w:rsid w:val="00382A8F"/>
    <w:rsid w:val="00383860"/>
    <w:rsid w:val="00384591"/>
    <w:rsid w:val="0038545D"/>
    <w:rsid w:val="00386F94"/>
    <w:rsid w:val="00390E48"/>
    <w:rsid w:val="0039238E"/>
    <w:rsid w:val="0039431E"/>
    <w:rsid w:val="00394F28"/>
    <w:rsid w:val="00395513"/>
    <w:rsid w:val="00395A64"/>
    <w:rsid w:val="00397DB3"/>
    <w:rsid w:val="003A0993"/>
    <w:rsid w:val="003A280D"/>
    <w:rsid w:val="003A373B"/>
    <w:rsid w:val="003A4187"/>
    <w:rsid w:val="003A4D91"/>
    <w:rsid w:val="003A5208"/>
    <w:rsid w:val="003A6503"/>
    <w:rsid w:val="003A76A8"/>
    <w:rsid w:val="003B3464"/>
    <w:rsid w:val="003B3E9C"/>
    <w:rsid w:val="003B4099"/>
    <w:rsid w:val="003B503A"/>
    <w:rsid w:val="003B5884"/>
    <w:rsid w:val="003B677F"/>
    <w:rsid w:val="003B7AF7"/>
    <w:rsid w:val="003C079F"/>
    <w:rsid w:val="003C221D"/>
    <w:rsid w:val="003C36B2"/>
    <w:rsid w:val="003C486D"/>
    <w:rsid w:val="003C54EF"/>
    <w:rsid w:val="003C5B06"/>
    <w:rsid w:val="003C7579"/>
    <w:rsid w:val="003C77E9"/>
    <w:rsid w:val="003C7B62"/>
    <w:rsid w:val="003C7C12"/>
    <w:rsid w:val="003C7FE5"/>
    <w:rsid w:val="003D1D23"/>
    <w:rsid w:val="003D2556"/>
    <w:rsid w:val="003D33CC"/>
    <w:rsid w:val="003D4033"/>
    <w:rsid w:val="003D5D8E"/>
    <w:rsid w:val="003D633E"/>
    <w:rsid w:val="003D66A6"/>
    <w:rsid w:val="003D722C"/>
    <w:rsid w:val="003D7736"/>
    <w:rsid w:val="003E0B67"/>
    <w:rsid w:val="003E2D1F"/>
    <w:rsid w:val="003E33E9"/>
    <w:rsid w:val="003E3C29"/>
    <w:rsid w:val="003E5803"/>
    <w:rsid w:val="003E63B2"/>
    <w:rsid w:val="003E64A5"/>
    <w:rsid w:val="003E6EFA"/>
    <w:rsid w:val="003E78B4"/>
    <w:rsid w:val="003F194C"/>
    <w:rsid w:val="003F1F88"/>
    <w:rsid w:val="003F288D"/>
    <w:rsid w:val="003F4268"/>
    <w:rsid w:val="003F4A1F"/>
    <w:rsid w:val="003F4FE8"/>
    <w:rsid w:val="00400F52"/>
    <w:rsid w:val="00401A13"/>
    <w:rsid w:val="00401A74"/>
    <w:rsid w:val="00402D29"/>
    <w:rsid w:val="00403581"/>
    <w:rsid w:val="0040509B"/>
    <w:rsid w:val="00405554"/>
    <w:rsid w:val="00406FEE"/>
    <w:rsid w:val="00410461"/>
    <w:rsid w:val="004110E9"/>
    <w:rsid w:val="0041256A"/>
    <w:rsid w:val="004159F0"/>
    <w:rsid w:val="00421995"/>
    <w:rsid w:val="00421B01"/>
    <w:rsid w:val="00423427"/>
    <w:rsid w:val="00424267"/>
    <w:rsid w:val="00425AA9"/>
    <w:rsid w:val="00425C93"/>
    <w:rsid w:val="00427229"/>
    <w:rsid w:val="0042795F"/>
    <w:rsid w:val="00431C8B"/>
    <w:rsid w:val="0043213B"/>
    <w:rsid w:val="00432F61"/>
    <w:rsid w:val="004336A1"/>
    <w:rsid w:val="004337F5"/>
    <w:rsid w:val="00434363"/>
    <w:rsid w:val="00434DA8"/>
    <w:rsid w:val="00435BC5"/>
    <w:rsid w:val="00435DC7"/>
    <w:rsid w:val="0043612A"/>
    <w:rsid w:val="004379E3"/>
    <w:rsid w:val="00437BD3"/>
    <w:rsid w:val="00437E58"/>
    <w:rsid w:val="00443299"/>
    <w:rsid w:val="004440B4"/>
    <w:rsid w:val="004451E9"/>
    <w:rsid w:val="00446BF3"/>
    <w:rsid w:val="00447E79"/>
    <w:rsid w:val="00450081"/>
    <w:rsid w:val="00450225"/>
    <w:rsid w:val="00453B9A"/>
    <w:rsid w:val="00453D1B"/>
    <w:rsid w:val="00453E81"/>
    <w:rsid w:val="00454F8F"/>
    <w:rsid w:val="0045503F"/>
    <w:rsid w:val="00455231"/>
    <w:rsid w:val="00455F4C"/>
    <w:rsid w:val="004560C6"/>
    <w:rsid w:val="004572D4"/>
    <w:rsid w:val="00457C7E"/>
    <w:rsid w:val="00457D86"/>
    <w:rsid w:val="004602DB"/>
    <w:rsid w:val="00460539"/>
    <w:rsid w:val="00461361"/>
    <w:rsid w:val="004613F6"/>
    <w:rsid w:val="004629BE"/>
    <w:rsid w:val="00463BE3"/>
    <w:rsid w:val="00463DED"/>
    <w:rsid w:val="004655FF"/>
    <w:rsid w:val="0046615E"/>
    <w:rsid w:val="0046632E"/>
    <w:rsid w:val="00466A34"/>
    <w:rsid w:val="00467007"/>
    <w:rsid w:val="00467823"/>
    <w:rsid w:val="004708EE"/>
    <w:rsid w:val="00475131"/>
    <w:rsid w:val="00476C4A"/>
    <w:rsid w:val="00477DEB"/>
    <w:rsid w:val="004800D0"/>
    <w:rsid w:val="004802A5"/>
    <w:rsid w:val="0048095B"/>
    <w:rsid w:val="00481432"/>
    <w:rsid w:val="00481DE2"/>
    <w:rsid w:val="004829C1"/>
    <w:rsid w:val="00484822"/>
    <w:rsid w:val="004860A2"/>
    <w:rsid w:val="004875B1"/>
    <w:rsid w:val="0049085A"/>
    <w:rsid w:val="00491C7E"/>
    <w:rsid w:val="00494DDF"/>
    <w:rsid w:val="0049633D"/>
    <w:rsid w:val="004978D1"/>
    <w:rsid w:val="004A0CCE"/>
    <w:rsid w:val="004A202F"/>
    <w:rsid w:val="004A20E8"/>
    <w:rsid w:val="004A50F9"/>
    <w:rsid w:val="004B3499"/>
    <w:rsid w:val="004B3B2C"/>
    <w:rsid w:val="004B3DA2"/>
    <w:rsid w:val="004B5B33"/>
    <w:rsid w:val="004B6D63"/>
    <w:rsid w:val="004B7985"/>
    <w:rsid w:val="004C0CC9"/>
    <w:rsid w:val="004C1072"/>
    <w:rsid w:val="004C1221"/>
    <w:rsid w:val="004C1C91"/>
    <w:rsid w:val="004C22A7"/>
    <w:rsid w:val="004C475D"/>
    <w:rsid w:val="004C4CA2"/>
    <w:rsid w:val="004C67D8"/>
    <w:rsid w:val="004C6CB1"/>
    <w:rsid w:val="004C7642"/>
    <w:rsid w:val="004D08E4"/>
    <w:rsid w:val="004D09ED"/>
    <w:rsid w:val="004D283A"/>
    <w:rsid w:val="004D3752"/>
    <w:rsid w:val="004D4B95"/>
    <w:rsid w:val="004D545C"/>
    <w:rsid w:val="004D5F71"/>
    <w:rsid w:val="004D646B"/>
    <w:rsid w:val="004D67A1"/>
    <w:rsid w:val="004D771A"/>
    <w:rsid w:val="004D7F36"/>
    <w:rsid w:val="004E06EE"/>
    <w:rsid w:val="004E10F6"/>
    <w:rsid w:val="004E1E64"/>
    <w:rsid w:val="004E3227"/>
    <w:rsid w:val="004E4073"/>
    <w:rsid w:val="004E4AF2"/>
    <w:rsid w:val="004E58CC"/>
    <w:rsid w:val="004E59E4"/>
    <w:rsid w:val="004E6E2C"/>
    <w:rsid w:val="004E7B87"/>
    <w:rsid w:val="004F0FCC"/>
    <w:rsid w:val="004F1BEB"/>
    <w:rsid w:val="004F31DC"/>
    <w:rsid w:val="004F3BB2"/>
    <w:rsid w:val="004F4031"/>
    <w:rsid w:val="004F5207"/>
    <w:rsid w:val="004F711A"/>
    <w:rsid w:val="004F724E"/>
    <w:rsid w:val="00500FC1"/>
    <w:rsid w:val="005026DF"/>
    <w:rsid w:val="00502771"/>
    <w:rsid w:val="00505095"/>
    <w:rsid w:val="005065D6"/>
    <w:rsid w:val="005103AF"/>
    <w:rsid w:val="0051200B"/>
    <w:rsid w:val="00514195"/>
    <w:rsid w:val="00514945"/>
    <w:rsid w:val="00514D3D"/>
    <w:rsid w:val="00514F6C"/>
    <w:rsid w:val="0051547C"/>
    <w:rsid w:val="0051798B"/>
    <w:rsid w:val="00517BA0"/>
    <w:rsid w:val="00522165"/>
    <w:rsid w:val="0052258B"/>
    <w:rsid w:val="00523C4E"/>
    <w:rsid w:val="00523C90"/>
    <w:rsid w:val="00524629"/>
    <w:rsid w:val="00525861"/>
    <w:rsid w:val="005259E2"/>
    <w:rsid w:val="00525ED0"/>
    <w:rsid w:val="0053418A"/>
    <w:rsid w:val="005363AF"/>
    <w:rsid w:val="00536A01"/>
    <w:rsid w:val="00536AFB"/>
    <w:rsid w:val="00536FAB"/>
    <w:rsid w:val="00537302"/>
    <w:rsid w:val="0053741B"/>
    <w:rsid w:val="00537898"/>
    <w:rsid w:val="00540B2F"/>
    <w:rsid w:val="00540B7D"/>
    <w:rsid w:val="00540ECF"/>
    <w:rsid w:val="00541D84"/>
    <w:rsid w:val="00541F25"/>
    <w:rsid w:val="005425C1"/>
    <w:rsid w:val="00542908"/>
    <w:rsid w:val="00542AFE"/>
    <w:rsid w:val="005435B5"/>
    <w:rsid w:val="00544157"/>
    <w:rsid w:val="00544DC5"/>
    <w:rsid w:val="00545D59"/>
    <w:rsid w:val="005460A3"/>
    <w:rsid w:val="005461F7"/>
    <w:rsid w:val="005465B5"/>
    <w:rsid w:val="00546EFA"/>
    <w:rsid w:val="005471C7"/>
    <w:rsid w:val="00547334"/>
    <w:rsid w:val="0055121E"/>
    <w:rsid w:val="00551B7E"/>
    <w:rsid w:val="005535AB"/>
    <w:rsid w:val="00556F32"/>
    <w:rsid w:val="005577BD"/>
    <w:rsid w:val="00557928"/>
    <w:rsid w:val="005606F8"/>
    <w:rsid w:val="005616E9"/>
    <w:rsid w:val="005625ED"/>
    <w:rsid w:val="00562C84"/>
    <w:rsid w:val="00563EDD"/>
    <w:rsid w:val="00565660"/>
    <w:rsid w:val="00565ABA"/>
    <w:rsid w:val="00565C4C"/>
    <w:rsid w:val="00565CC9"/>
    <w:rsid w:val="005661F5"/>
    <w:rsid w:val="005676BB"/>
    <w:rsid w:val="005678F7"/>
    <w:rsid w:val="00570A4C"/>
    <w:rsid w:val="005718C0"/>
    <w:rsid w:val="00571B0E"/>
    <w:rsid w:val="005730BC"/>
    <w:rsid w:val="0057366A"/>
    <w:rsid w:val="00577362"/>
    <w:rsid w:val="00577992"/>
    <w:rsid w:val="00580AAE"/>
    <w:rsid w:val="00582317"/>
    <w:rsid w:val="0058587C"/>
    <w:rsid w:val="00587257"/>
    <w:rsid w:val="00587918"/>
    <w:rsid w:val="00591818"/>
    <w:rsid w:val="00594CBC"/>
    <w:rsid w:val="00595678"/>
    <w:rsid w:val="005975CA"/>
    <w:rsid w:val="005A2419"/>
    <w:rsid w:val="005A37B1"/>
    <w:rsid w:val="005A3C84"/>
    <w:rsid w:val="005A59D0"/>
    <w:rsid w:val="005B0A34"/>
    <w:rsid w:val="005B0DD1"/>
    <w:rsid w:val="005B6DE8"/>
    <w:rsid w:val="005B7245"/>
    <w:rsid w:val="005C037F"/>
    <w:rsid w:val="005C23B7"/>
    <w:rsid w:val="005C5D17"/>
    <w:rsid w:val="005C5DC0"/>
    <w:rsid w:val="005C66DC"/>
    <w:rsid w:val="005C691E"/>
    <w:rsid w:val="005C7282"/>
    <w:rsid w:val="005C7450"/>
    <w:rsid w:val="005D088D"/>
    <w:rsid w:val="005D0A33"/>
    <w:rsid w:val="005D21D3"/>
    <w:rsid w:val="005D2399"/>
    <w:rsid w:val="005D2595"/>
    <w:rsid w:val="005D358B"/>
    <w:rsid w:val="005D4F6F"/>
    <w:rsid w:val="005D4FA7"/>
    <w:rsid w:val="005D55D4"/>
    <w:rsid w:val="005D7020"/>
    <w:rsid w:val="005D7998"/>
    <w:rsid w:val="005E0ABD"/>
    <w:rsid w:val="005E24AB"/>
    <w:rsid w:val="005E2D37"/>
    <w:rsid w:val="005E35FC"/>
    <w:rsid w:val="005E4B97"/>
    <w:rsid w:val="005E6455"/>
    <w:rsid w:val="005E6766"/>
    <w:rsid w:val="005E6F61"/>
    <w:rsid w:val="005F1AF1"/>
    <w:rsid w:val="005F2CCB"/>
    <w:rsid w:val="005F3088"/>
    <w:rsid w:val="005F37D2"/>
    <w:rsid w:val="005F5CDF"/>
    <w:rsid w:val="005F640D"/>
    <w:rsid w:val="005F6DDB"/>
    <w:rsid w:val="005F70AF"/>
    <w:rsid w:val="005F7387"/>
    <w:rsid w:val="00600FFF"/>
    <w:rsid w:val="006017CE"/>
    <w:rsid w:val="0060588E"/>
    <w:rsid w:val="006058EF"/>
    <w:rsid w:val="00605D16"/>
    <w:rsid w:val="006061A2"/>
    <w:rsid w:val="0060648A"/>
    <w:rsid w:val="006065CC"/>
    <w:rsid w:val="006107BB"/>
    <w:rsid w:val="00610B26"/>
    <w:rsid w:val="00612074"/>
    <w:rsid w:val="006123B5"/>
    <w:rsid w:val="0061316C"/>
    <w:rsid w:val="00613399"/>
    <w:rsid w:val="006135AA"/>
    <w:rsid w:val="006137E3"/>
    <w:rsid w:val="00613E30"/>
    <w:rsid w:val="0061461F"/>
    <w:rsid w:val="006159C5"/>
    <w:rsid w:val="00616179"/>
    <w:rsid w:val="006167A0"/>
    <w:rsid w:val="00617266"/>
    <w:rsid w:val="00621BBF"/>
    <w:rsid w:val="00621E8B"/>
    <w:rsid w:val="00622B88"/>
    <w:rsid w:val="006240F1"/>
    <w:rsid w:val="00624B74"/>
    <w:rsid w:val="00625065"/>
    <w:rsid w:val="00625BDF"/>
    <w:rsid w:val="00626362"/>
    <w:rsid w:val="0062659C"/>
    <w:rsid w:val="006269F3"/>
    <w:rsid w:val="00627F8A"/>
    <w:rsid w:val="00630CDE"/>
    <w:rsid w:val="006324FE"/>
    <w:rsid w:val="00633930"/>
    <w:rsid w:val="00633C5A"/>
    <w:rsid w:val="00634746"/>
    <w:rsid w:val="006353B4"/>
    <w:rsid w:val="00636A1E"/>
    <w:rsid w:val="006373C2"/>
    <w:rsid w:val="0063772F"/>
    <w:rsid w:val="00640836"/>
    <w:rsid w:val="00641A75"/>
    <w:rsid w:val="00642B49"/>
    <w:rsid w:val="006432F7"/>
    <w:rsid w:val="006437BE"/>
    <w:rsid w:val="00644402"/>
    <w:rsid w:val="00644E4E"/>
    <w:rsid w:val="006451CC"/>
    <w:rsid w:val="00645242"/>
    <w:rsid w:val="00650238"/>
    <w:rsid w:val="00652634"/>
    <w:rsid w:val="00654464"/>
    <w:rsid w:val="0065634E"/>
    <w:rsid w:val="00656568"/>
    <w:rsid w:val="00661A90"/>
    <w:rsid w:val="00661B0A"/>
    <w:rsid w:val="0066327B"/>
    <w:rsid w:val="00663B4D"/>
    <w:rsid w:val="00666D0B"/>
    <w:rsid w:val="00671114"/>
    <w:rsid w:val="00671714"/>
    <w:rsid w:val="00671C55"/>
    <w:rsid w:val="0067223C"/>
    <w:rsid w:val="00672892"/>
    <w:rsid w:val="00672D35"/>
    <w:rsid w:val="006730F1"/>
    <w:rsid w:val="006732EB"/>
    <w:rsid w:val="00675327"/>
    <w:rsid w:val="006775FE"/>
    <w:rsid w:val="006818FF"/>
    <w:rsid w:val="00685AE4"/>
    <w:rsid w:val="00685ED2"/>
    <w:rsid w:val="006860A9"/>
    <w:rsid w:val="00690B55"/>
    <w:rsid w:val="006917A1"/>
    <w:rsid w:val="00692217"/>
    <w:rsid w:val="006929CF"/>
    <w:rsid w:val="00692ADA"/>
    <w:rsid w:val="0069400B"/>
    <w:rsid w:val="00694F7D"/>
    <w:rsid w:val="006A0777"/>
    <w:rsid w:val="006A24D0"/>
    <w:rsid w:val="006A28CA"/>
    <w:rsid w:val="006A2BC7"/>
    <w:rsid w:val="006A40DF"/>
    <w:rsid w:val="006A4364"/>
    <w:rsid w:val="006A4C8F"/>
    <w:rsid w:val="006A7C4C"/>
    <w:rsid w:val="006B1EA2"/>
    <w:rsid w:val="006B3542"/>
    <w:rsid w:val="006B540C"/>
    <w:rsid w:val="006B6F49"/>
    <w:rsid w:val="006B782C"/>
    <w:rsid w:val="006B79FD"/>
    <w:rsid w:val="006B7AC6"/>
    <w:rsid w:val="006B7BE0"/>
    <w:rsid w:val="006C1FA5"/>
    <w:rsid w:val="006C3528"/>
    <w:rsid w:val="006C3E90"/>
    <w:rsid w:val="006C424E"/>
    <w:rsid w:val="006C4873"/>
    <w:rsid w:val="006C49E2"/>
    <w:rsid w:val="006C4A69"/>
    <w:rsid w:val="006C586D"/>
    <w:rsid w:val="006C6723"/>
    <w:rsid w:val="006C7A56"/>
    <w:rsid w:val="006D20CF"/>
    <w:rsid w:val="006D3040"/>
    <w:rsid w:val="006D3A7C"/>
    <w:rsid w:val="006D3D24"/>
    <w:rsid w:val="006D3F5D"/>
    <w:rsid w:val="006D6EF5"/>
    <w:rsid w:val="006D76BC"/>
    <w:rsid w:val="006E0ACE"/>
    <w:rsid w:val="006E19A9"/>
    <w:rsid w:val="006E5870"/>
    <w:rsid w:val="006F00B3"/>
    <w:rsid w:val="006F02A4"/>
    <w:rsid w:val="006F0E69"/>
    <w:rsid w:val="006F17BB"/>
    <w:rsid w:val="006F207A"/>
    <w:rsid w:val="006F53D7"/>
    <w:rsid w:val="006F5679"/>
    <w:rsid w:val="006F69C4"/>
    <w:rsid w:val="006F69CE"/>
    <w:rsid w:val="006F6B6A"/>
    <w:rsid w:val="006F7464"/>
    <w:rsid w:val="007012E5"/>
    <w:rsid w:val="0070285F"/>
    <w:rsid w:val="007034D1"/>
    <w:rsid w:val="007037B0"/>
    <w:rsid w:val="00704D74"/>
    <w:rsid w:val="00705C26"/>
    <w:rsid w:val="00706633"/>
    <w:rsid w:val="00706CD1"/>
    <w:rsid w:val="007074E1"/>
    <w:rsid w:val="007135F7"/>
    <w:rsid w:val="00715267"/>
    <w:rsid w:val="007156BB"/>
    <w:rsid w:val="00715F43"/>
    <w:rsid w:val="00716F65"/>
    <w:rsid w:val="00721178"/>
    <w:rsid w:val="007215F3"/>
    <w:rsid w:val="0072188D"/>
    <w:rsid w:val="00722977"/>
    <w:rsid w:val="00722DA4"/>
    <w:rsid w:val="00725E11"/>
    <w:rsid w:val="007301D7"/>
    <w:rsid w:val="00731FB2"/>
    <w:rsid w:val="00734446"/>
    <w:rsid w:val="00740831"/>
    <w:rsid w:val="00740BB3"/>
    <w:rsid w:val="00741645"/>
    <w:rsid w:val="00741C22"/>
    <w:rsid w:val="007422E9"/>
    <w:rsid w:val="0074332E"/>
    <w:rsid w:val="00744485"/>
    <w:rsid w:val="00747AA4"/>
    <w:rsid w:val="007501AB"/>
    <w:rsid w:val="007510FB"/>
    <w:rsid w:val="007524EA"/>
    <w:rsid w:val="0075265C"/>
    <w:rsid w:val="00752AD3"/>
    <w:rsid w:val="00752BCF"/>
    <w:rsid w:val="0075666B"/>
    <w:rsid w:val="00756E81"/>
    <w:rsid w:val="00757592"/>
    <w:rsid w:val="007649DD"/>
    <w:rsid w:val="007650B4"/>
    <w:rsid w:val="00770BD2"/>
    <w:rsid w:val="00771F90"/>
    <w:rsid w:val="0077328F"/>
    <w:rsid w:val="00773722"/>
    <w:rsid w:val="007744B2"/>
    <w:rsid w:val="00774747"/>
    <w:rsid w:val="00774F21"/>
    <w:rsid w:val="007758F6"/>
    <w:rsid w:val="00775AF3"/>
    <w:rsid w:val="00776A53"/>
    <w:rsid w:val="007805A8"/>
    <w:rsid w:val="007813C4"/>
    <w:rsid w:val="00781E0C"/>
    <w:rsid w:val="00782DD0"/>
    <w:rsid w:val="007837F6"/>
    <w:rsid w:val="00790DC7"/>
    <w:rsid w:val="00791899"/>
    <w:rsid w:val="00792C11"/>
    <w:rsid w:val="00793208"/>
    <w:rsid w:val="00793DCD"/>
    <w:rsid w:val="00794965"/>
    <w:rsid w:val="00794BA5"/>
    <w:rsid w:val="00795894"/>
    <w:rsid w:val="00795A5B"/>
    <w:rsid w:val="00795FC1"/>
    <w:rsid w:val="00797AC2"/>
    <w:rsid w:val="00797FF6"/>
    <w:rsid w:val="007A1331"/>
    <w:rsid w:val="007A21C6"/>
    <w:rsid w:val="007A254C"/>
    <w:rsid w:val="007A58CD"/>
    <w:rsid w:val="007A5950"/>
    <w:rsid w:val="007A6FB9"/>
    <w:rsid w:val="007A730F"/>
    <w:rsid w:val="007A7B69"/>
    <w:rsid w:val="007A7C3C"/>
    <w:rsid w:val="007B155E"/>
    <w:rsid w:val="007B198F"/>
    <w:rsid w:val="007B3E7F"/>
    <w:rsid w:val="007B49A6"/>
    <w:rsid w:val="007B7D6C"/>
    <w:rsid w:val="007C1686"/>
    <w:rsid w:val="007C1FDB"/>
    <w:rsid w:val="007C4061"/>
    <w:rsid w:val="007C6CF0"/>
    <w:rsid w:val="007D0F3A"/>
    <w:rsid w:val="007D1C10"/>
    <w:rsid w:val="007D3BBD"/>
    <w:rsid w:val="007D3BFC"/>
    <w:rsid w:val="007D5B28"/>
    <w:rsid w:val="007D71BD"/>
    <w:rsid w:val="007E0F0E"/>
    <w:rsid w:val="007E1131"/>
    <w:rsid w:val="007E4541"/>
    <w:rsid w:val="007E634A"/>
    <w:rsid w:val="007E6F20"/>
    <w:rsid w:val="007E7AE8"/>
    <w:rsid w:val="007F0067"/>
    <w:rsid w:val="007F0CA0"/>
    <w:rsid w:val="007F11CC"/>
    <w:rsid w:val="007F2331"/>
    <w:rsid w:val="007F341A"/>
    <w:rsid w:val="007F37EA"/>
    <w:rsid w:val="007F38C2"/>
    <w:rsid w:val="007F77F4"/>
    <w:rsid w:val="007F7D02"/>
    <w:rsid w:val="00800DBE"/>
    <w:rsid w:val="0080169C"/>
    <w:rsid w:val="00801BB8"/>
    <w:rsid w:val="00802EAE"/>
    <w:rsid w:val="008102C2"/>
    <w:rsid w:val="00811111"/>
    <w:rsid w:val="008116FF"/>
    <w:rsid w:val="008122D6"/>
    <w:rsid w:val="00813774"/>
    <w:rsid w:val="00815169"/>
    <w:rsid w:val="00815D9B"/>
    <w:rsid w:val="008165A8"/>
    <w:rsid w:val="00816B97"/>
    <w:rsid w:val="008175D4"/>
    <w:rsid w:val="00821095"/>
    <w:rsid w:val="008220CA"/>
    <w:rsid w:val="00822D44"/>
    <w:rsid w:val="00824BE1"/>
    <w:rsid w:val="008250E0"/>
    <w:rsid w:val="00825924"/>
    <w:rsid w:val="008267F0"/>
    <w:rsid w:val="00827BB5"/>
    <w:rsid w:val="00832834"/>
    <w:rsid w:val="008334D6"/>
    <w:rsid w:val="0083375E"/>
    <w:rsid w:val="00833BFC"/>
    <w:rsid w:val="008346DF"/>
    <w:rsid w:val="008354E4"/>
    <w:rsid w:val="0083563F"/>
    <w:rsid w:val="00840DAB"/>
    <w:rsid w:val="0084467F"/>
    <w:rsid w:val="00845315"/>
    <w:rsid w:val="008463C7"/>
    <w:rsid w:val="008520B5"/>
    <w:rsid w:val="008578CD"/>
    <w:rsid w:val="00861A3C"/>
    <w:rsid w:val="00862A1D"/>
    <w:rsid w:val="00862D93"/>
    <w:rsid w:val="0086423A"/>
    <w:rsid w:val="0086534D"/>
    <w:rsid w:val="008653E2"/>
    <w:rsid w:val="00865689"/>
    <w:rsid w:val="0086603C"/>
    <w:rsid w:val="00866D9F"/>
    <w:rsid w:val="00870D51"/>
    <w:rsid w:val="00871AC7"/>
    <w:rsid w:val="00872162"/>
    <w:rsid w:val="00872FD1"/>
    <w:rsid w:val="008734C4"/>
    <w:rsid w:val="00873A7B"/>
    <w:rsid w:val="008745C0"/>
    <w:rsid w:val="00875431"/>
    <w:rsid w:val="0087555A"/>
    <w:rsid w:val="008771D9"/>
    <w:rsid w:val="0087772B"/>
    <w:rsid w:val="00885546"/>
    <w:rsid w:val="00885BDC"/>
    <w:rsid w:val="00886237"/>
    <w:rsid w:val="0088670F"/>
    <w:rsid w:val="00886928"/>
    <w:rsid w:val="008871C9"/>
    <w:rsid w:val="00887CB0"/>
    <w:rsid w:val="00890282"/>
    <w:rsid w:val="00890B94"/>
    <w:rsid w:val="008916C5"/>
    <w:rsid w:val="00894FB0"/>
    <w:rsid w:val="0089500C"/>
    <w:rsid w:val="008967E4"/>
    <w:rsid w:val="00897DB5"/>
    <w:rsid w:val="008A072D"/>
    <w:rsid w:val="008A0A58"/>
    <w:rsid w:val="008A0C00"/>
    <w:rsid w:val="008A0D0B"/>
    <w:rsid w:val="008A0DD5"/>
    <w:rsid w:val="008A2080"/>
    <w:rsid w:val="008A2C59"/>
    <w:rsid w:val="008A35E5"/>
    <w:rsid w:val="008A7CC8"/>
    <w:rsid w:val="008B03C2"/>
    <w:rsid w:val="008B3699"/>
    <w:rsid w:val="008B3C0B"/>
    <w:rsid w:val="008B3D26"/>
    <w:rsid w:val="008B3FD0"/>
    <w:rsid w:val="008B5C2B"/>
    <w:rsid w:val="008B67C3"/>
    <w:rsid w:val="008C0869"/>
    <w:rsid w:val="008C330A"/>
    <w:rsid w:val="008C58FC"/>
    <w:rsid w:val="008C598C"/>
    <w:rsid w:val="008C70AA"/>
    <w:rsid w:val="008C7BAC"/>
    <w:rsid w:val="008D03A7"/>
    <w:rsid w:val="008D0B99"/>
    <w:rsid w:val="008D2C94"/>
    <w:rsid w:val="008D359B"/>
    <w:rsid w:val="008D55E0"/>
    <w:rsid w:val="008D7411"/>
    <w:rsid w:val="008E02F8"/>
    <w:rsid w:val="008E7C1C"/>
    <w:rsid w:val="008F0A95"/>
    <w:rsid w:val="008F1DB9"/>
    <w:rsid w:val="008F3178"/>
    <w:rsid w:val="008F4B13"/>
    <w:rsid w:val="008F65C2"/>
    <w:rsid w:val="00900071"/>
    <w:rsid w:val="009000A6"/>
    <w:rsid w:val="00900BEF"/>
    <w:rsid w:val="00901D4C"/>
    <w:rsid w:val="009022A4"/>
    <w:rsid w:val="0090290F"/>
    <w:rsid w:val="009034CA"/>
    <w:rsid w:val="00903503"/>
    <w:rsid w:val="0090482F"/>
    <w:rsid w:val="009052F2"/>
    <w:rsid w:val="009058A3"/>
    <w:rsid w:val="00905C27"/>
    <w:rsid w:val="00906173"/>
    <w:rsid w:val="0090624A"/>
    <w:rsid w:val="00906C26"/>
    <w:rsid w:val="00911D48"/>
    <w:rsid w:val="0091213C"/>
    <w:rsid w:val="00913414"/>
    <w:rsid w:val="0091394F"/>
    <w:rsid w:val="00914A47"/>
    <w:rsid w:val="0091501E"/>
    <w:rsid w:val="00915FC9"/>
    <w:rsid w:val="0091674C"/>
    <w:rsid w:val="00917451"/>
    <w:rsid w:val="00920567"/>
    <w:rsid w:val="009219DB"/>
    <w:rsid w:val="00921A6A"/>
    <w:rsid w:val="00923C19"/>
    <w:rsid w:val="00923DCF"/>
    <w:rsid w:val="009248ED"/>
    <w:rsid w:val="0092752D"/>
    <w:rsid w:val="00927A47"/>
    <w:rsid w:val="00930C98"/>
    <w:rsid w:val="00930E8A"/>
    <w:rsid w:val="00931537"/>
    <w:rsid w:val="00931542"/>
    <w:rsid w:val="00931C09"/>
    <w:rsid w:val="00931C50"/>
    <w:rsid w:val="009329AE"/>
    <w:rsid w:val="009354CE"/>
    <w:rsid w:val="009363EA"/>
    <w:rsid w:val="00937404"/>
    <w:rsid w:val="00937747"/>
    <w:rsid w:val="00940338"/>
    <w:rsid w:val="0094044D"/>
    <w:rsid w:val="0094396A"/>
    <w:rsid w:val="009458CC"/>
    <w:rsid w:val="009459DD"/>
    <w:rsid w:val="009468C7"/>
    <w:rsid w:val="0094711F"/>
    <w:rsid w:val="0094720B"/>
    <w:rsid w:val="0094722A"/>
    <w:rsid w:val="00951B9F"/>
    <w:rsid w:val="009533B8"/>
    <w:rsid w:val="00953A73"/>
    <w:rsid w:val="009552D8"/>
    <w:rsid w:val="009555FF"/>
    <w:rsid w:val="00955E63"/>
    <w:rsid w:val="00957FAD"/>
    <w:rsid w:val="00960113"/>
    <w:rsid w:val="00960980"/>
    <w:rsid w:val="00961729"/>
    <w:rsid w:val="00962E84"/>
    <w:rsid w:val="00966784"/>
    <w:rsid w:val="00970722"/>
    <w:rsid w:val="00970815"/>
    <w:rsid w:val="00971A47"/>
    <w:rsid w:val="00972B00"/>
    <w:rsid w:val="0097564D"/>
    <w:rsid w:val="00975D58"/>
    <w:rsid w:val="00976D8F"/>
    <w:rsid w:val="00976E3D"/>
    <w:rsid w:val="00977C5B"/>
    <w:rsid w:val="00981902"/>
    <w:rsid w:val="00981BAA"/>
    <w:rsid w:val="0098271F"/>
    <w:rsid w:val="0098450E"/>
    <w:rsid w:val="00984C17"/>
    <w:rsid w:val="0098500F"/>
    <w:rsid w:val="0098640A"/>
    <w:rsid w:val="00987A5D"/>
    <w:rsid w:val="00994FC1"/>
    <w:rsid w:val="0099582D"/>
    <w:rsid w:val="00996154"/>
    <w:rsid w:val="0099633C"/>
    <w:rsid w:val="0099637D"/>
    <w:rsid w:val="009967ED"/>
    <w:rsid w:val="00997FE1"/>
    <w:rsid w:val="009A03CD"/>
    <w:rsid w:val="009A2495"/>
    <w:rsid w:val="009A27E7"/>
    <w:rsid w:val="009A2988"/>
    <w:rsid w:val="009A4A49"/>
    <w:rsid w:val="009A6ACA"/>
    <w:rsid w:val="009B02A5"/>
    <w:rsid w:val="009B2C57"/>
    <w:rsid w:val="009B437A"/>
    <w:rsid w:val="009B4842"/>
    <w:rsid w:val="009B58DA"/>
    <w:rsid w:val="009C10A1"/>
    <w:rsid w:val="009C302E"/>
    <w:rsid w:val="009C48A6"/>
    <w:rsid w:val="009C5F77"/>
    <w:rsid w:val="009D00ED"/>
    <w:rsid w:val="009D05D4"/>
    <w:rsid w:val="009D2034"/>
    <w:rsid w:val="009D20F1"/>
    <w:rsid w:val="009D2580"/>
    <w:rsid w:val="009D390F"/>
    <w:rsid w:val="009D3C77"/>
    <w:rsid w:val="009D4978"/>
    <w:rsid w:val="009D68FD"/>
    <w:rsid w:val="009E13B6"/>
    <w:rsid w:val="009E177E"/>
    <w:rsid w:val="009E265C"/>
    <w:rsid w:val="009E2B03"/>
    <w:rsid w:val="009E350C"/>
    <w:rsid w:val="009E39D6"/>
    <w:rsid w:val="009E43AF"/>
    <w:rsid w:val="009F0287"/>
    <w:rsid w:val="009F3AED"/>
    <w:rsid w:val="009F4681"/>
    <w:rsid w:val="009F50F1"/>
    <w:rsid w:val="009F67AE"/>
    <w:rsid w:val="00A015DE"/>
    <w:rsid w:val="00A02B27"/>
    <w:rsid w:val="00A03FD6"/>
    <w:rsid w:val="00A04029"/>
    <w:rsid w:val="00A06638"/>
    <w:rsid w:val="00A06C42"/>
    <w:rsid w:val="00A07188"/>
    <w:rsid w:val="00A07273"/>
    <w:rsid w:val="00A07FC5"/>
    <w:rsid w:val="00A10B94"/>
    <w:rsid w:val="00A10D4D"/>
    <w:rsid w:val="00A12E4C"/>
    <w:rsid w:val="00A12FDC"/>
    <w:rsid w:val="00A13F48"/>
    <w:rsid w:val="00A14C6C"/>
    <w:rsid w:val="00A1724D"/>
    <w:rsid w:val="00A1769E"/>
    <w:rsid w:val="00A2081C"/>
    <w:rsid w:val="00A21344"/>
    <w:rsid w:val="00A21C6D"/>
    <w:rsid w:val="00A21F3F"/>
    <w:rsid w:val="00A23A34"/>
    <w:rsid w:val="00A2508F"/>
    <w:rsid w:val="00A2561D"/>
    <w:rsid w:val="00A27711"/>
    <w:rsid w:val="00A3281B"/>
    <w:rsid w:val="00A33233"/>
    <w:rsid w:val="00A3466C"/>
    <w:rsid w:val="00A35C43"/>
    <w:rsid w:val="00A37840"/>
    <w:rsid w:val="00A40612"/>
    <w:rsid w:val="00A40EDB"/>
    <w:rsid w:val="00A42065"/>
    <w:rsid w:val="00A4340E"/>
    <w:rsid w:val="00A4573A"/>
    <w:rsid w:val="00A461B3"/>
    <w:rsid w:val="00A46299"/>
    <w:rsid w:val="00A46CF5"/>
    <w:rsid w:val="00A47027"/>
    <w:rsid w:val="00A470E5"/>
    <w:rsid w:val="00A476D6"/>
    <w:rsid w:val="00A479D2"/>
    <w:rsid w:val="00A47F29"/>
    <w:rsid w:val="00A502C3"/>
    <w:rsid w:val="00A517D9"/>
    <w:rsid w:val="00A520DD"/>
    <w:rsid w:val="00A52508"/>
    <w:rsid w:val="00A53C3D"/>
    <w:rsid w:val="00A54D4A"/>
    <w:rsid w:val="00A54EB6"/>
    <w:rsid w:val="00A563BD"/>
    <w:rsid w:val="00A57F13"/>
    <w:rsid w:val="00A62280"/>
    <w:rsid w:val="00A63092"/>
    <w:rsid w:val="00A716C1"/>
    <w:rsid w:val="00A71AD4"/>
    <w:rsid w:val="00A73986"/>
    <w:rsid w:val="00A7480B"/>
    <w:rsid w:val="00A75631"/>
    <w:rsid w:val="00A75A46"/>
    <w:rsid w:val="00A75B25"/>
    <w:rsid w:val="00A75E76"/>
    <w:rsid w:val="00A775C9"/>
    <w:rsid w:val="00A8007A"/>
    <w:rsid w:val="00A81D7E"/>
    <w:rsid w:val="00A82DFD"/>
    <w:rsid w:val="00A842B2"/>
    <w:rsid w:val="00A86354"/>
    <w:rsid w:val="00A86A9D"/>
    <w:rsid w:val="00A939DD"/>
    <w:rsid w:val="00A94EA4"/>
    <w:rsid w:val="00A95617"/>
    <w:rsid w:val="00A95BA0"/>
    <w:rsid w:val="00A97C74"/>
    <w:rsid w:val="00AA086C"/>
    <w:rsid w:val="00AA0A7B"/>
    <w:rsid w:val="00AA0BE7"/>
    <w:rsid w:val="00AA1D86"/>
    <w:rsid w:val="00AA262A"/>
    <w:rsid w:val="00AA37BA"/>
    <w:rsid w:val="00AA45FE"/>
    <w:rsid w:val="00AA583F"/>
    <w:rsid w:val="00AA6443"/>
    <w:rsid w:val="00AA66DB"/>
    <w:rsid w:val="00AA68CC"/>
    <w:rsid w:val="00AA7AA5"/>
    <w:rsid w:val="00AB0538"/>
    <w:rsid w:val="00AB0885"/>
    <w:rsid w:val="00AB1428"/>
    <w:rsid w:val="00AB24F6"/>
    <w:rsid w:val="00AB428E"/>
    <w:rsid w:val="00AB4DE1"/>
    <w:rsid w:val="00AB54F9"/>
    <w:rsid w:val="00AB5515"/>
    <w:rsid w:val="00AB5E2D"/>
    <w:rsid w:val="00AC1951"/>
    <w:rsid w:val="00AC27FE"/>
    <w:rsid w:val="00AC4B48"/>
    <w:rsid w:val="00AC67BE"/>
    <w:rsid w:val="00AC6E46"/>
    <w:rsid w:val="00AC6F1B"/>
    <w:rsid w:val="00AC77CD"/>
    <w:rsid w:val="00AC782B"/>
    <w:rsid w:val="00AD13F1"/>
    <w:rsid w:val="00AD1428"/>
    <w:rsid w:val="00AD27FE"/>
    <w:rsid w:val="00AD305B"/>
    <w:rsid w:val="00AD44E8"/>
    <w:rsid w:val="00AD4D43"/>
    <w:rsid w:val="00AD5B63"/>
    <w:rsid w:val="00AD72D7"/>
    <w:rsid w:val="00AE0DC7"/>
    <w:rsid w:val="00AE1DE9"/>
    <w:rsid w:val="00AE2122"/>
    <w:rsid w:val="00AE55F4"/>
    <w:rsid w:val="00AE65A5"/>
    <w:rsid w:val="00AE65D3"/>
    <w:rsid w:val="00AE6C0D"/>
    <w:rsid w:val="00AE758B"/>
    <w:rsid w:val="00AE762F"/>
    <w:rsid w:val="00AE7838"/>
    <w:rsid w:val="00AF096C"/>
    <w:rsid w:val="00AF44E2"/>
    <w:rsid w:val="00AF486A"/>
    <w:rsid w:val="00AF4B23"/>
    <w:rsid w:val="00AF5735"/>
    <w:rsid w:val="00AF592B"/>
    <w:rsid w:val="00AF79A4"/>
    <w:rsid w:val="00AF7EF5"/>
    <w:rsid w:val="00B00AB9"/>
    <w:rsid w:val="00B00D8D"/>
    <w:rsid w:val="00B02ED2"/>
    <w:rsid w:val="00B03413"/>
    <w:rsid w:val="00B062FF"/>
    <w:rsid w:val="00B12947"/>
    <w:rsid w:val="00B12CCA"/>
    <w:rsid w:val="00B1384B"/>
    <w:rsid w:val="00B15A9E"/>
    <w:rsid w:val="00B170ED"/>
    <w:rsid w:val="00B17A94"/>
    <w:rsid w:val="00B17BC1"/>
    <w:rsid w:val="00B20AAA"/>
    <w:rsid w:val="00B20D03"/>
    <w:rsid w:val="00B2195F"/>
    <w:rsid w:val="00B21A67"/>
    <w:rsid w:val="00B2327D"/>
    <w:rsid w:val="00B234CB"/>
    <w:rsid w:val="00B24B08"/>
    <w:rsid w:val="00B25BC4"/>
    <w:rsid w:val="00B25F0C"/>
    <w:rsid w:val="00B263D0"/>
    <w:rsid w:val="00B278EE"/>
    <w:rsid w:val="00B279ED"/>
    <w:rsid w:val="00B304EF"/>
    <w:rsid w:val="00B306CF"/>
    <w:rsid w:val="00B321D0"/>
    <w:rsid w:val="00B32BA6"/>
    <w:rsid w:val="00B33B56"/>
    <w:rsid w:val="00B36523"/>
    <w:rsid w:val="00B3681C"/>
    <w:rsid w:val="00B3693D"/>
    <w:rsid w:val="00B372EB"/>
    <w:rsid w:val="00B37CCA"/>
    <w:rsid w:val="00B41D06"/>
    <w:rsid w:val="00B43E74"/>
    <w:rsid w:val="00B43FF9"/>
    <w:rsid w:val="00B44708"/>
    <w:rsid w:val="00B4760D"/>
    <w:rsid w:val="00B51B9C"/>
    <w:rsid w:val="00B520EC"/>
    <w:rsid w:val="00B5274C"/>
    <w:rsid w:val="00B53F58"/>
    <w:rsid w:val="00B54C84"/>
    <w:rsid w:val="00B54E72"/>
    <w:rsid w:val="00B55722"/>
    <w:rsid w:val="00B57D06"/>
    <w:rsid w:val="00B63299"/>
    <w:rsid w:val="00B63E9C"/>
    <w:rsid w:val="00B64843"/>
    <w:rsid w:val="00B66F8B"/>
    <w:rsid w:val="00B67EF4"/>
    <w:rsid w:val="00B7052D"/>
    <w:rsid w:val="00B711B0"/>
    <w:rsid w:val="00B71C11"/>
    <w:rsid w:val="00B72E4C"/>
    <w:rsid w:val="00B74999"/>
    <w:rsid w:val="00B810D3"/>
    <w:rsid w:val="00B828FC"/>
    <w:rsid w:val="00B845E8"/>
    <w:rsid w:val="00B85EFB"/>
    <w:rsid w:val="00B8643E"/>
    <w:rsid w:val="00B874F1"/>
    <w:rsid w:val="00B906BB"/>
    <w:rsid w:val="00B91000"/>
    <w:rsid w:val="00B9311B"/>
    <w:rsid w:val="00B93582"/>
    <w:rsid w:val="00B94C28"/>
    <w:rsid w:val="00B95574"/>
    <w:rsid w:val="00B95716"/>
    <w:rsid w:val="00B9624D"/>
    <w:rsid w:val="00B96F4E"/>
    <w:rsid w:val="00BA1684"/>
    <w:rsid w:val="00BA1DD1"/>
    <w:rsid w:val="00BA1EF6"/>
    <w:rsid w:val="00BA29A3"/>
    <w:rsid w:val="00BA2C0F"/>
    <w:rsid w:val="00BA4884"/>
    <w:rsid w:val="00BA566B"/>
    <w:rsid w:val="00BA63D0"/>
    <w:rsid w:val="00BA6B68"/>
    <w:rsid w:val="00BA7E28"/>
    <w:rsid w:val="00BB0C48"/>
    <w:rsid w:val="00BB20BA"/>
    <w:rsid w:val="00BB20ED"/>
    <w:rsid w:val="00BB216F"/>
    <w:rsid w:val="00BB2A1C"/>
    <w:rsid w:val="00BB3E95"/>
    <w:rsid w:val="00BB45B2"/>
    <w:rsid w:val="00BB72F2"/>
    <w:rsid w:val="00BB7405"/>
    <w:rsid w:val="00BC1491"/>
    <w:rsid w:val="00BC14B5"/>
    <w:rsid w:val="00BC1A7C"/>
    <w:rsid w:val="00BC2A22"/>
    <w:rsid w:val="00BC2B44"/>
    <w:rsid w:val="00BC4D6A"/>
    <w:rsid w:val="00BC68C6"/>
    <w:rsid w:val="00BC6B98"/>
    <w:rsid w:val="00BC6DF4"/>
    <w:rsid w:val="00BC790B"/>
    <w:rsid w:val="00BD0E5B"/>
    <w:rsid w:val="00BD2B21"/>
    <w:rsid w:val="00BD48BB"/>
    <w:rsid w:val="00BD7AA4"/>
    <w:rsid w:val="00BE0177"/>
    <w:rsid w:val="00BE5122"/>
    <w:rsid w:val="00BE6615"/>
    <w:rsid w:val="00BE68D8"/>
    <w:rsid w:val="00BE785C"/>
    <w:rsid w:val="00BE7EF0"/>
    <w:rsid w:val="00BE7F3D"/>
    <w:rsid w:val="00BF01DA"/>
    <w:rsid w:val="00BF2246"/>
    <w:rsid w:val="00BF2D18"/>
    <w:rsid w:val="00BF5E99"/>
    <w:rsid w:val="00BF6CD6"/>
    <w:rsid w:val="00BF6F69"/>
    <w:rsid w:val="00BF71C3"/>
    <w:rsid w:val="00BF7AFE"/>
    <w:rsid w:val="00BF7DD6"/>
    <w:rsid w:val="00C019BA"/>
    <w:rsid w:val="00C0398A"/>
    <w:rsid w:val="00C03DE2"/>
    <w:rsid w:val="00C043BD"/>
    <w:rsid w:val="00C04CBB"/>
    <w:rsid w:val="00C04D61"/>
    <w:rsid w:val="00C0605F"/>
    <w:rsid w:val="00C07588"/>
    <w:rsid w:val="00C112FD"/>
    <w:rsid w:val="00C11C39"/>
    <w:rsid w:val="00C14AE9"/>
    <w:rsid w:val="00C1580E"/>
    <w:rsid w:val="00C164E6"/>
    <w:rsid w:val="00C16DDD"/>
    <w:rsid w:val="00C1730A"/>
    <w:rsid w:val="00C22380"/>
    <w:rsid w:val="00C22F00"/>
    <w:rsid w:val="00C22FBC"/>
    <w:rsid w:val="00C242F8"/>
    <w:rsid w:val="00C2524F"/>
    <w:rsid w:val="00C25C05"/>
    <w:rsid w:val="00C26319"/>
    <w:rsid w:val="00C30FC4"/>
    <w:rsid w:val="00C3405D"/>
    <w:rsid w:val="00C34336"/>
    <w:rsid w:val="00C34BB1"/>
    <w:rsid w:val="00C34BF7"/>
    <w:rsid w:val="00C3572D"/>
    <w:rsid w:val="00C35FC7"/>
    <w:rsid w:val="00C362E8"/>
    <w:rsid w:val="00C36747"/>
    <w:rsid w:val="00C3684F"/>
    <w:rsid w:val="00C37B4A"/>
    <w:rsid w:val="00C423B1"/>
    <w:rsid w:val="00C426DF"/>
    <w:rsid w:val="00C44847"/>
    <w:rsid w:val="00C455BA"/>
    <w:rsid w:val="00C47307"/>
    <w:rsid w:val="00C50F22"/>
    <w:rsid w:val="00C51444"/>
    <w:rsid w:val="00C514CF"/>
    <w:rsid w:val="00C534F3"/>
    <w:rsid w:val="00C54A76"/>
    <w:rsid w:val="00C55E18"/>
    <w:rsid w:val="00C55EDD"/>
    <w:rsid w:val="00C57CC8"/>
    <w:rsid w:val="00C60D51"/>
    <w:rsid w:val="00C619CA"/>
    <w:rsid w:val="00C622BE"/>
    <w:rsid w:val="00C64160"/>
    <w:rsid w:val="00C642A8"/>
    <w:rsid w:val="00C64907"/>
    <w:rsid w:val="00C652A9"/>
    <w:rsid w:val="00C65388"/>
    <w:rsid w:val="00C659F4"/>
    <w:rsid w:val="00C6637A"/>
    <w:rsid w:val="00C70A5A"/>
    <w:rsid w:val="00C71CB2"/>
    <w:rsid w:val="00C73A5E"/>
    <w:rsid w:val="00C74361"/>
    <w:rsid w:val="00C743EF"/>
    <w:rsid w:val="00C75C4F"/>
    <w:rsid w:val="00C76251"/>
    <w:rsid w:val="00C767A7"/>
    <w:rsid w:val="00C815B8"/>
    <w:rsid w:val="00C81D31"/>
    <w:rsid w:val="00C824A6"/>
    <w:rsid w:val="00C83152"/>
    <w:rsid w:val="00C835BF"/>
    <w:rsid w:val="00C845E5"/>
    <w:rsid w:val="00C8701A"/>
    <w:rsid w:val="00C873D8"/>
    <w:rsid w:val="00C90342"/>
    <w:rsid w:val="00C92940"/>
    <w:rsid w:val="00C93DD5"/>
    <w:rsid w:val="00C95585"/>
    <w:rsid w:val="00C969E0"/>
    <w:rsid w:val="00C96B8D"/>
    <w:rsid w:val="00CA09A8"/>
    <w:rsid w:val="00CA27D1"/>
    <w:rsid w:val="00CA4E46"/>
    <w:rsid w:val="00CA5667"/>
    <w:rsid w:val="00CA5794"/>
    <w:rsid w:val="00CA591C"/>
    <w:rsid w:val="00CA6E55"/>
    <w:rsid w:val="00CB1CEB"/>
    <w:rsid w:val="00CB3233"/>
    <w:rsid w:val="00CB3701"/>
    <w:rsid w:val="00CB38A8"/>
    <w:rsid w:val="00CB41D7"/>
    <w:rsid w:val="00CB5EDA"/>
    <w:rsid w:val="00CB6950"/>
    <w:rsid w:val="00CB736F"/>
    <w:rsid w:val="00CC079F"/>
    <w:rsid w:val="00CC2F2C"/>
    <w:rsid w:val="00CC3383"/>
    <w:rsid w:val="00CC3F3A"/>
    <w:rsid w:val="00CC435A"/>
    <w:rsid w:val="00CC49E8"/>
    <w:rsid w:val="00CC5E3D"/>
    <w:rsid w:val="00CC60C1"/>
    <w:rsid w:val="00CC76A2"/>
    <w:rsid w:val="00CC7A6F"/>
    <w:rsid w:val="00CD0488"/>
    <w:rsid w:val="00CD2830"/>
    <w:rsid w:val="00CD33EA"/>
    <w:rsid w:val="00CD36A6"/>
    <w:rsid w:val="00CD4BA0"/>
    <w:rsid w:val="00CD4CF6"/>
    <w:rsid w:val="00CD525C"/>
    <w:rsid w:val="00CD6129"/>
    <w:rsid w:val="00CE04ED"/>
    <w:rsid w:val="00CE16E5"/>
    <w:rsid w:val="00CE4F45"/>
    <w:rsid w:val="00CE50A5"/>
    <w:rsid w:val="00CE5321"/>
    <w:rsid w:val="00CF0D1E"/>
    <w:rsid w:val="00CF14D0"/>
    <w:rsid w:val="00CF1C49"/>
    <w:rsid w:val="00CF1FA6"/>
    <w:rsid w:val="00CF22D5"/>
    <w:rsid w:val="00CF2781"/>
    <w:rsid w:val="00CF2E22"/>
    <w:rsid w:val="00CF2F3E"/>
    <w:rsid w:val="00CF60D0"/>
    <w:rsid w:val="00CF6290"/>
    <w:rsid w:val="00D005AB"/>
    <w:rsid w:val="00D01582"/>
    <w:rsid w:val="00D016A5"/>
    <w:rsid w:val="00D0392F"/>
    <w:rsid w:val="00D05767"/>
    <w:rsid w:val="00D063FE"/>
    <w:rsid w:val="00D06D03"/>
    <w:rsid w:val="00D10AFF"/>
    <w:rsid w:val="00D11F2B"/>
    <w:rsid w:val="00D13180"/>
    <w:rsid w:val="00D136F4"/>
    <w:rsid w:val="00D141CC"/>
    <w:rsid w:val="00D156D7"/>
    <w:rsid w:val="00D15FE2"/>
    <w:rsid w:val="00D16E53"/>
    <w:rsid w:val="00D2321D"/>
    <w:rsid w:val="00D23990"/>
    <w:rsid w:val="00D24405"/>
    <w:rsid w:val="00D24554"/>
    <w:rsid w:val="00D25ED5"/>
    <w:rsid w:val="00D2636C"/>
    <w:rsid w:val="00D2685E"/>
    <w:rsid w:val="00D27DD9"/>
    <w:rsid w:val="00D32382"/>
    <w:rsid w:val="00D329F1"/>
    <w:rsid w:val="00D3578A"/>
    <w:rsid w:val="00D35F3E"/>
    <w:rsid w:val="00D40087"/>
    <w:rsid w:val="00D42786"/>
    <w:rsid w:val="00D43743"/>
    <w:rsid w:val="00D43A89"/>
    <w:rsid w:val="00D441C0"/>
    <w:rsid w:val="00D45312"/>
    <w:rsid w:val="00D46E38"/>
    <w:rsid w:val="00D4704C"/>
    <w:rsid w:val="00D4762C"/>
    <w:rsid w:val="00D47645"/>
    <w:rsid w:val="00D4799B"/>
    <w:rsid w:val="00D50030"/>
    <w:rsid w:val="00D50896"/>
    <w:rsid w:val="00D529A5"/>
    <w:rsid w:val="00D550ED"/>
    <w:rsid w:val="00D557EC"/>
    <w:rsid w:val="00D60528"/>
    <w:rsid w:val="00D60960"/>
    <w:rsid w:val="00D614A4"/>
    <w:rsid w:val="00D6367F"/>
    <w:rsid w:val="00D65640"/>
    <w:rsid w:val="00D66651"/>
    <w:rsid w:val="00D66655"/>
    <w:rsid w:val="00D702A8"/>
    <w:rsid w:val="00D70585"/>
    <w:rsid w:val="00D70897"/>
    <w:rsid w:val="00D70F75"/>
    <w:rsid w:val="00D7385B"/>
    <w:rsid w:val="00D73AEA"/>
    <w:rsid w:val="00D750FE"/>
    <w:rsid w:val="00D7536B"/>
    <w:rsid w:val="00D75704"/>
    <w:rsid w:val="00D81A83"/>
    <w:rsid w:val="00D834F8"/>
    <w:rsid w:val="00D84764"/>
    <w:rsid w:val="00D85B97"/>
    <w:rsid w:val="00D863EA"/>
    <w:rsid w:val="00D90A0B"/>
    <w:rsid w:val="00D90BF9"/>
    <w:rsid w:val="00D9102F"/>
    <w:rsid w:val="00D92853"/>
    <w:rsid w:val="00D935B2"/>
    <w:rsid w:val="00D94046"/>
    <w:rsid w:val="00D94C8D"/>
    <w:rsid w:val="00D96C89"/>
    <w:rsid w:val="00D97313"/>
    <w:rsid w:val="00DA155E"/>
    <w:rsid w:val="00DA2360"/>
    <w:rsid w:val="00DA2B47"/>
    <w:rsid w:val="00DA3FEE"/>
    <w:rsid w:val="00DA6108"/>
    <w:rsid w:val="00DA77A8"/>
    <w:rsid w:val="00DA7B42"/>
    <w:rsid w:val="00DA7CB0"/>
    <w:rsid w:val="00DB43B7"/>
    <w:rsid w:val="00DB46D2"/>
    <w:rsid w:val="00DB541A"/>
    <w:rsid w:val="00DB5B68"/>
    <w:rsid w:val="00DB5C60"/>
    <w:rsid w:val="00DB66CD"/>
    <w:rsid w:val="00DB7A96"/>
    <w:rsid w:val="00DC0E95"/>
    <w:rsid w:val="00DC3265"/>
    <w:rsid w:val="00DC3517"/>
    <w:rsid w:val="00DC44E5"/>
    <w:rsid w:val="00DC4B74"/>
    <w:rsid w:val="00DC7532"/>
    <w:rsid w:val="00DD098E"/>
    <w:rsid w:val="00DD16E1"/>
    <w:rsid w:val="00DD23BB"/>
    <w:rsid w:val="00DD3728"/>
    <w:rsid w:val="00DD518B"/>
    <w:rsid w:val="00DD692E"/>
    <w:rsid w:val="00DD75BD"/>
    <w:rsid w:val="00DE058B"/>
    <w:rsid w:val="00DE3BDA"/>
    <w:rsid w:val="00DE3D50"/>
    <w:rsid w:val="00DE4232"/>
    <w:rsid w:val="00DF0D9A"/>
    <w:rsid w:val="00DF2E95"/>
    <w:rsid w:val="00DF3B19"/>
    <w:rsid w:val="00DF3FAC"/>
    <w:rsid w:val="00DF4805"/>
    <w:rsid w:val="00DF53F8"/>
    <w:rsid w:val="00DF591C"/>
    <w:rsid w:val="00DF5AEF"/>
    <w:rsid w:val="00DF5F94"/>
    <w:rsid w:val="00DF78CC"/>
    <w:rsid w:val="00E0003C"/>
    <w:rsid w:val="00E0062C"/>
    <w:rsid w:val="00E015AA"/>
    <w:rsid w:val="00E01710"/>
    <w:rsid w:val="00E0171D"/>
    <w:rsid w:val="00E019C7"/>
    <w:rsid w:val="00E0279D"/>
    <w:rsid w:val="00E057F5"/>
    <w:rsid w:val="00E12CB4"/>
    <w:rsid w:val="00E12DEB"/>
    <w:rsid w:val="00E131C1"/>
    <w:rsid w:val="00E13D77"/>
    <w:rsid w:val="00E14F97"/>
    <w:rsid w:val="00E1555E"/>
    <w:rsid w:val="00E21B59"/>
    <w:rsid w:val="00E24777"/>
    <w:rsid w:val="00E27D61"/>
    <w:rsid w:val="00E319CD"/>
    <w:rsid w:val="00E323B0"/>
    <w:rsid w:val="00E331D0"/>
    <w:rsid w:val="00E358DF"/>
    <w:rsid w:val="00E3736C"/>
    <w:rsid w:val="00E374C0"/>
    <w:rsid w:val="00E378D1"/>
    <w:rsid w:val="00E37DAF"/>
    <w:rsid w:val="00E402DE"/>
    <w:rsid w:val="00E40D1C"/>
    <w:rsid w:val="00E43974"/>
    <w:rsid w:val="00E442AF"/>
    <w:rsid w:val="00E462A4"/>
    <w:rsid w:val="00E50026"/>
    <w:rsid w:val="00E506D7"/>
    <w:rsid w:val="00E5642A"/>
    <w:rsid w:val="00E56998"/>
    <w:rsid w:val="00E57002"/>
    <w:rsid w:val="00E57140"/>
    <w:rsid w:val="00E57599"/>
    <w:rsid w:val="00E6060F"/>
    <w:rsid w:val="00E60988"/>
    <w:rsid w:val="00E60F25"/>
    <w:rsid w:val="00E61F16"/>
    <w:rsid w:val="00E6419A"/>
    <w:rsid w:val="00E6575F"/>
    <w:rsid w:val="00E6584D"/>
    <w:rsid w:val="00E66C37"/>
    <w:rsid w:val="00E66D9D"/>
    <w:rsid w:val="00E66F1E"/>
    <w:rsid w:val="00E67C19"/>
    <w:rsid w:val="00E67D62"/>
    <w:rsid w:val="00E70294"/>
    <w:rsid w:val="00E7285D"/>
    <w:rsid w:val="00E73965"/>
    <w:rsid w:val="00E74DD6"/>
    <w:rsid w:val="00E77B3F"/>
    <w:rsid w:val="00E81696"/>
    <w:rsid w:val="00E81BCD"/>
    <w:rsid w:val="00E8211D"/>
    <w:rsid w:val="00E8269C"/>
    <w:rsid w:val="00E83D2C"/>
    <w:rsid w:val="00E83F72"/>
    <w:rsid w:val="00E8417A"/>
    <w:rsid w:val="00E84D81"/>
    <w:rsid w:val="00E8514B"/>
    <w:rsid w:val="00E85BE7"/>
    <w:rsid w:val="00E87E6A"/>
    <w:rsid w:val="00E9164B"/>
    <w:rsid w:val="00E92AC1"/>
    <w:rsid w:val="00E9443B"/>
    <w:rsid w:val="00E97436"/>
    <w:rsid w:val="00E97A53"/>
    <w:rsid w:val="00E97E54"/>
    <w:rsid w:val="00EA097A"/>
    <w:rsid w:val="00EA1BB4"/>
    <w:rsid w:val="00EA4E3D"/>
    <w:rsid w:val="00EA62D0"/>
    <w:rsid w:val="00EA6C1B"/>
    <w:rsid w:val="00EB01BC"/>
    <w:rsid w:val="00EB065A"/>
    <w:rsid w:val="00EB0C28"/>
    <w:rsid w:val="00EB0DDD"/>
    <w:rsid w:val="00EB3792"/>
    <w:rsid w:val="00EB3A5A"/>
    <w:rsid w:val="00EB5835"/>
    <w:rsid w:val="00EC1027"/>
    <w:rsid w:val="00EC1135"/>
    <w:rsid w:val="00EC4BDF"/>
    <w:rsid w:val="00EC57A7"/>
    <w:rsid w:val="00EC5BD2"/>
    <w:rsid w:val="00EC6416"/>
    <w:rsid w:val="00EC765B"/>
    <w:rsid w:val="00ED2911"/>
    <w:rsid w:val="00ED2EE3"/>
    <w:rsid w:val="00ED393D"/>
    <w:rsid w:val="00ED4194"/>
    <w:rsid w:val="00ED42A5"/>
    <w:rsid w:val="00ED538D"/>
    <w:rsid w:val="00ED587D"/>
    <w:rsid w:val="00ED5BC1"/>
    <w:rsid w:val="00ED70B9"/>
    <w:rsid w:val="00EE0E55"/>
    <w:rsid w:val="00EE1589"/>
    <w:rsid w:val="00EE21E3"/>
    <w:rsid w:val="00EE2A7B"/>
    <w:rsid w:val="00EE2D65"/>
    <w:rsid w:val="00EE3F20"/>
    <w:rsid w:val="00EE5988"/>
    <w:rsid w:val="00EF35F1"/>
    <w:rsid w:val="00EF378A"/>
    <w:rsid w:val="00EF52A5"/>
    <w:rsid w:val="00EF55B3"/>
    <w:rsid w:val="00EF5759"/>
    <w:rsid w:val="00F00F20"/>
    <w:rsid w:val="00F02B64"/>
    <w:rsid w:val="00F03533"/>
    <w:rsid w:val="00F03C6D"/>
    <w:rsid w:val="00F059EA"/>
    <w:rsid w:val="00F0644D"/>
    <w:rsid w:val="00F079E1"/>
    <w:rsid w:val="00F10322"/>
    <w:rsid w:val="00F12DF8"/>
    <w:rsid w:val="00F13467"/>
    <w:rsid w:val="00F148A6"/>
    <w:rsid w:val="00F14FE2"/>
    <w:rsid w:val="00F15213"/>
    <w:rsid w:val="00F15454"/>
    <w:rsid w:val="00F15F86"/>
    <w:rsid w:val="00F16A32"/>
    <w:rsid w:val="00F179C6"/>
    <w:rsid w:val="00F17CD8"/>
    <w:rsid w:val="00F23525"/>
    <w:rsid w:val="00F25613"/>
    <w:rsid w:val="00F266D6"/>
    <w:rsid w:val="00F2728F"/>
    <w:rsid w:val="00F301A2"/>
    <w:rsid w:val="00F30F37"/>
    <w:rsid w:val="00F314CB"/>
    <w:rsid w:val="00F31A8A"/>
    <w:rsid w:val="00F332AE"/>
    <w:rsid w:val="00F342F0"/>
    <w:rsid w:val="00F4104C"/>
    <w:rsid w:val="00F45559"/>
    <w:rsid w:val="00F46702"/>
    <w:rsid w:val="00F51F2C"/>
    <w:rsid w:val="00F5478E"/>
    <w:rsid w:val="00F548E0"/>
    <w:rsid w:val="00F553CB"/>
    <w:rsid w:val="00F57A84"/>
    <w:rsid w:val="00F601EF"/>
    <w:rsid w:val="00F60748"/>
    <w:rsid w:val="00F61472"/>
    <w:rsid w:val="00F61DFE"/>
    <w:rsid w:val="00F6262B"/>
    <w:rsid w:val="00F636B7"/>
    <w:rsid w:val="00F6785E"/>
    <w:rsid w:val="00F67B65"/>
    <w:rsid w:val="00F71CC2"/>
    <w:rsid w:val="00F744C7"/>
    <w:rsid w:val="00F76ACB"/>
    <w:rsid w:val="00F77992"/>
    <w:rsid w:val="00F81471"/>
    <w:rsid w:val="00F81955"/>
    <w:rsid w:val="00F833C0"/>
    <w:rsid w:val="00F84252"/>
    <w:rsid w:val="00F846DC"/>
    <w:rsid w:val="00F85BA6"/>
    <w:rsid w:val="00F87A1E"/>
    <w:rsid w:val="00F904C7"/>
    <w:rsid w:val="00F906F7"/>
    <w:rsid w:val="00F94D16"/>
    <w:rsid w:val="00F9686C"/>
    <w:rsid w:val="00F97073"/>
    <w:rsid w:val="00FA0BB3"/>
    <w:rsid w:val="00FA10D0"/>
    <w:rsid w:val="00FA16BB"/>
    <w:rsid w:val="00FA2C19"/>
    <w:rsid w:val="00FA2EF8"/>
    <w:rsid w:val="00FA3F51"/>
    <w:rsid w:val="00FA49DF"/>
    <w:rsid w:val="00FA6DCB"/>
    <w:rsid w:val="00FA7379"/>
    <w:rsid w:val="00FA7F22"/>
    <w:rsid w:val="00FB0F04"/>
    <w:rsid w:val="00FB169E"/>
    <w:rsid w:val="00FB1DE2"/>
    <w:rsid w:val="00FB5305"/>
    <w:rsid w:val="00FB634E"/>
    <w:rsid w:val="00FB7AD8"/>
    <w:rsid w:val="00FC011F"/>
    <w:rsid w:val="00FC03D8"/>
    <w:rsid w:val="00FC1E3D"/>
    <w:rsid w:val="00FC1F70"/>
    <w:rsid w:val="00FC2697"/>
    <w:rsid w:val="00FC3F38"/>
    <w:rsid w:val="00FC597A"/>
    <w:rsid w:val="00FC73BC"/>
    <w:rsid w:val="00FC753E"/>
    <w:rsid w:val="00FD0541"/>
    <w:rsid w:val="00FD14C0"/>
    <w:rsid w:val="00FD22FE"/>
    <w:rsid w:val="00FD3258"/>
    <w:rsid w:val="00FD3A20"/>
    <w:rsid w:val="00FD6E4D"/>
    <w:rsid w:val="00FD6FB7"/>
    <w:rsid w:val="00FE03A2"/>
    <w:rsid w:val="00FE10BF"/>
    <w:rsid w:val="00FE1704"/>
    <w:rsid w:val="00FE18C7"/>
    <w:rsid w:val="00FE2746"/>
    <w:rsid w:val="00FE4AAA"/>
    <w:rsid w:val="00FE4C57"/>
    <w:rsid w:val="00FE4E5B"/>
    <w:rsid w:val="00FE68D8"/>
    <w:rsid w:val="00FE74A2"/>
    <w:rsid w:val="00FF2AD1"/>
    <w:rsid w:val="00FF3ED1"/>
    <w:rsid w:val="00FF4CB7"/>
    <w:rsid w:val="00FF4CBC"/>
    <w:rsid w:val="00FF53FA"/>
    <w:rsid w:val="00FF6849"/>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31F0C"/>
  <w15:docId w15:val="{301D7162-872E-4292-8D23-86DAAF1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C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CB1CEB"/>
    <w:pPr>
      <w:keepNext/>
      <w:keepLines/>
      <w:spacing w:line="480" w:lineRule="auto"/>
      <w:jc w:val="center"/>
      <w:outlineLvl w:val="0"/>
    </w:pPr>
    <w:rPr>
      <w:rFonts w:eastAsiaTheme="majorEastAsia" w:cstheme="majorBidi"/>
      <w:b/>
      <w:szCs w:val="32"/>
      <w:u w:val="single"/>
    </w:rPr>
  </w:style>
  <w:style w:type="paragraph" w:styleId="Heading2">
    <w:name w:val="heading 2"/>
    <w:basedOn w:val="Normal"/>
    <w:next w:val="Normal"/>
    <w:link w:val="Heading2Char"/>
    <w:autoRedefine/>
    <w:uiPriority w:val="9"/>
    <w:unhideWhenUsed/>
    <w:qFormat/>
    <w:rsid w:val="00C642A8"/>
    <w:pPr>
      <w:keepNext/>
      <w:keepLines/>
      <w:numPr>
        <w:numId w:val="16"/>
      </w:numPr>
      <w:spacing w:after="240"/>
      <w:ind w:left="7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C642A8"/>
    <w:pPr>
      <w:keepNext/>
      <w:keepLines/>
      <w:numPr>
        <w:numId w:val="10"/>
      </w:numPr>
      <w:spacing w:after="240"/>
      <w:ind w:hanging="7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587918"/>
    <w:pPr>
      <w:numPr>
        <w:numId w:val="21"/>
      </w:numPr>
      <w:spacing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1">
    <w:name w:val="Plain Text1"/>
    <w:basedOn w:val="Normal"/>
    <w:rsid w:val="00225868"/>
    <w:pPr>
      <w:spacing w:line="480" w:lineRule="auto"/>
      <w:ind w:right="-720"/>
      <w:textAlignment w:val="baseline"/>
    </w:pPr>
    <w:rPr>
      <w:rFonts w:ascii="Courier New" w:hAnsi="Courier New"/>
    </w:rPr>
  </w:style>
  <w:style w:type="paragraph" w:customStyle="1" w:styleId="Default">
    <w:name w:val="Default"/>
    <w:rsid w:val="00225868"/>
    <w:pPr>
      <w:autoSpaceDE w:val="0"/>
      <w:autoSpaceDN w:val="0"/>
      <w:adjustRightInd w:val="0"/>
      <w:spacing w:after="0" w:line="480" w:lineRule="auto"/>
      <w:ind w:left="720" w:hanging="36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25868"/>
    <w:rPr>
      <w:color w:val="0000FF" w:themeColor="hyperlink"/>
      <w:u w:val="single"/>
    </w:rPr>
  </w:style>
  <w:style w:type="paragraph" w:styleId="Header">
    <w:name w:val="header"/>
    <w:basedOn w:val="Normal"/>
    <w:link w:val="HeaderChar"/>
    <w:uiPriority w:val="99"/>
    <w:unhideWhenUsed/>
    <w:rsid w:val="00840DAB"/>
    <w:pPr>
      <w:tabs>
        <w:tab w:val="center" w:pos="4680"/>
        <w:tab w:val="right" w:pos="9360"/>
      </w:tabs>
    </w:pPr>
  </w:style>
  <w:style w:type="character" w:customStyle="1" w:styleId="HeaderChar">
    <w:name w:val="Header Char"/>
    <w:basedOn w:val="DefaultParagraphFont"/>
    <w:link w:val="Header"/>
    <w:uiPriority w:val="99"/>
    <w:rsid w:val="00840DAB"/>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40DAB"/>
    <w:pPr>
      <w:tabs>
        <w:tab w:val="center" w:pos="4680"/>
        <w:tab w:val="right" w:pos="9360"/>
      </w:tabs>
    </w:pPr>
  </w:style>
  <w:style w:type="character" w:customStyle="1" w:styleId="FooterChar">
    <w:name w:val="Footer Char"/>
    <w:basedOn w:val="DefaultParagraphFont"/>
    <w:link w:val="Footer"/>
    <w:uiPriority w:val="99"/>
    <w:rsid w:val="00840DA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2224EC"/>
    <w:rPr>
      <w:rFonts w:ascii="Tahoma" w:hAnsi="Tahoma" w:cs="Tahoma"/>
      <w:sz w:val="16"/>
      <w:szCs w:val="16"/>
    </w:rPr>
  </w:style>
  <w:style w:type="character" w:customStyle="1" w:styleId="BalloonTextChar">
    <w:name w:val="Balloon Text Char"/>
    <w:basedOn w:val="DefaultParagraphFont"/>
    <w:link w:val="BalloonText"/>
    <w:uiPriority w:val="99"/>
    <w:semiHidden/>
    <w:rsid w:val="002224EC"/>
    <w:rPr>
      <w:rFonts w:ascii="Tahoma" w:eastAsia="Times New Roman" w:hAnsi="Tahoma" w:cs="Tahoma"/>
      <w:sz w:val="16"/>
      <w:szCs w:val="16"/>
    </w:rPr>
  </w:style>
  <w:style w:type="table" w:styleId="TableGrid">
    <w:name w:val="Table Grid"/>
    <w:basedOn w:val="TableNormal"/>
    <w:uiPriority w:val="59"/>
    <w:rsid w:val="003B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6264"/>
    <w:rPr>
      <w:sz w:val="20"/>
    </w:rPr>
  </w:style>
  <w:style w:type="character" w:customStyle="1" w:styleId="FootnoteTextChar">
    <w:name w:val="Footnote Text Char"/>
    <w:basedOn w:val="DefaultParagraphFont"/>
    <w:link w:val="FootnoteText"/>
    <w:uiPriority w:val="99"/>
    <w:rsid w:val="002D62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264"/>
    <w:rPr>
      <w:vertAlign w:val="superscript"/>
    </w:rPr>
  </w:style>
  <w:style w:type="paragraph" w:styleId="ListParagraph">
    <w:name w:val="List Paragraph"/>
    <w:basedOn w:val="Normal"/>
    <w:uiPriority w:val="34"/>
    <w:qFormat/>
    <w:rsid w:val="00D70F75"/>
    <w:pPr>
      <w:ind w:left="720"/>
      <w:contextualSpacing/>
    </w:pPr>
  </w:style>
  <w:style w:type="character" w:styleId="CommentReference">
    <w:name w:val="annotation reference"/>
    <w:basedOn w:val="DefaultParagraphFont"/>
    <w:uiPriority w:val="99"/>
    <w:semiHidden/>
    <w:unhideWhenUsed/>
    <w:rsid w:val="004F0FCC"/>
    <w:rPr>
      <w:sz w:val="16"/>
      <w:szCs w:val="16"/>
    </w:rPr>
  </w:style>
  <w:style w:type="paragraph" w:styleId="CommentText">
    <w:name w:val="annotation text"/>
    <w:basedOn w:val="Normal"/>
    <w:link w:val="CommentTextChar"/>
    <w:uiPriority w:val="99"/>
    <w:semiHidden/>
    <w:unhideWhenUsed/>
    <w:rsid w:val="004F0FCC"/>
    <w:rPr>
      <w:sz w:val="20"/>
    </w:rPr>
  </w:style>
  <w:style w:type="character" w:customStyle="1" w:styleId="CommentTextChar">
    <w:name w:val="Comment Text Char"/>
    <w:basedOn w:val="DefaultParagraphFont"/>
    <w:link w:val="CommentText"/>
    <w:uiPriority w:val="99"/>
    <w:semiHidden/>
    <w:rsid w:val="004F0F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0FCC"/>
    <w:rPr>
      <w:b/>
      <w:bCs/>
    </w:rPr>
  </w:style>
  <w:style w:type="character" w:customStyle="1" w:styleId="CommentSubjectChar">
    <w:name w:val="Comment Subject Char"/>
    <w:basedOn w:val="CommentTextChar"/>
    <w:link w:val="CommentSubject"/>
    <w:uiPriority w:val="99"/>
    <w:semiHidden/>
    <w:rsid w:val="004F0FC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CB1CEB"/>
    <w:rPr>
      <w:rFonts w:ascii="Times New Roman" w:eastAsiaTheme="majorEastAsia" w:hAnsi="Times New Roman" w:cstheme="majorBidi"/>
      <w:b/>
      <w:sz w:val="24"/>
      <w:szCs w:val="32"/>
      <w:u w:val="single"/>
    </w:rPr>
  </w:style>
  <w:style w:type="character" w:customStyle="1" w:styleId="Heading2Char">
    <w:name w:val="Heading 2 Char"/>
    <w:basedOn w:val="DefaultParagraphFont"/>
    <w:link w:val="Heading2"/>
    <w:uiPriority w:val="9"/>
    <w:rsid w:val="00C642A8"/>
    <w:rPr>
      <w:rFonts w:ascii="Times New Roman" w:eastAsiaTheme="majorEastAsia" w:hAnsi="Times New Roman" w:cstheme="majorBidi"/>
      <w:b/>
      <w:sz w:val="24"/>
      <w:szCs w:val="26"/>
    </w:rPr>
  </w:style>
  <w:style w:type="paragraph" w:styleId="EndnoteText">
    <w:name w:val="endnote text"/>
    <w:basedOn w:val="Normal"/>
    <w:link w:val="EndnoteTextChar"/>
    <w:uiPriority w:val="99"/>
    <w:semiHidden/>
    <w:unhideWhenUsed/>
    <w:rsid w:val="00335024"/>
    <w:rPr>
      <w:sz w:val="20"/>
    </w:rPr>
  </w:style>
  <w:style w:type="character" w:customStyle="1" w:styleId="EndnoteTextChar">
    <w:name w:val="Endnote Text Char"/>
    <w:basedOn w:val="DefaultParagraphFont"/>
    <w:link w:val="EndnoteText"/>
    <w:uiPriority w:val="99"/>
    <w:semiHidden/>
    <w:rsid w:val="0033502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5024"/>
    <w:rPr>
      <w:vertAlign w:val="superscript"/>
    </w:rPr>
  </w:style>
  <w:style w:type="character" w:styleId="FollowedHyperlink">
    <w:name w:val="FollowedHyperlink"/>
    <w:basedOn w:val="DefaultParagraphFont"/>
    <w:uiPriority w:val="99"/>
    <w:semiHidden/>
    <w:unhideWhenUsed/>
    <w:rsid w:val="00335024"/>
    <w:rPr>
      <w:color w:val="800080" w:themeColor="followedHyperlink"/>
      <w:u w:val="single"/>
    </w:rPr>
  </w:style>
  <w:style w:type="character" w:customStyle="1" w:styleId="Heading3Char">
    <w:name w:val="Heading 3 Char"/>
    <w:basedOn w:val="DefaultParagraphFont"/>
    <w:link w:val="Heading3"/>
    <w:uiPriority w:val="9"/>
    <w:rsid w:val="00C642A8"/>
    <w:rPr>
      <w:rFonts w:ascii="Times New Roman" w:eastAsiaTheme="majorEastAsia" w:hAnsi="Times New Roman" w:cstheme="majorBidi"/>
      <w:b/>
      <w:i/>
      <w:sz w:val="24"/>
      <w:szCs w:val="24"/>
    </w:rPr>
  </w:style>
  <w:style w:type="paragraph" w:styleId="Revision">
    <w:name w:val="Revision"/>
    <w:hidden/>
    <w:uiPriority w:val="99"/>
    <w:semiHidden/>
    <w:rsid w:val="006F00B3"/>
    <w:pPr>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587918"/>
    <w:rPr>
      <w:rFonts w:ascii="Times New Roman" w:eastAsia="Times New Roman" w:hAnsi="Times New Roman" w:cs="Times New Roman"/>
      <w:sz w:val="24"/>
      <w:szCs w:val="20"/>
      <w:u w:val="single"/>
    </w:rPr>
  </w:style>
  <w:style w:type="paragraph" w:styleId="TOC2">
    <w:name w:val="toc 2"/>
    <w:basedOn w:val="Normal"/>
    <w:next w:val="Normal"/>
    <w:autoRedefine/>
    <w:uiPriority w:val="39"/>
    <w:unhideWhenUsed/>
    <w:rsid w:val="00A14C6C"/>
    <w:pPr>
      <w:tabs>
        <w:tab w:val="left" w:pos="1440"/>
        <w:tab w:val="right" w:leader="dot" w:pos="9180"/>
      </w:tabs>
      <w:spacing w:after="240"/>
      <w:ind w:left="1440" w:right="180" w:hanging="720"/>
    </w:pPr>
  </w:style>
  <w:style w:type="paragraph" w:styleId="TOC1">
    <w:name w:val="toc 1"/>
    <w:basedOn w:val="Normal"/>
    <w:next w:val="Normal"/>
    <w:autoRedefine/>
    <w:uiPriority w:val="39"/>
    <w:unhideWhenUsed/>
    <w:rsid w:val="00A14C6C"/>
    <w:pPr>
      <w:tabs>
        <w:tab w:val="right" w:leader="dot" w:pos="9180"/>
      </w:tabs>
      <w:spacing w:after="240"/>
      <w:ind w:right="180"/>
    </w:pPr>
  </w:style>
  <w:style w:type="paragraph" w:styleId="TOC3">
    <w:name w:val="toc 3"/>
    <w:basedOn w:val="Normal"/>
    <w:next w:val="Normal"/>
    <w:autoRedefine/>
    <w:uiPriority w:val="39"/>
    <w:unhideWhenUsed/>
    <w:rsid w:val="00A14C6C"/>
    <w:pPr>
      <w:tabs>
        <w:tab w:val="left" w:pos="2160"/>
        <w:tab w:val="right" w:leader="dot" w:pos="9180"/>
      </w:tabs>
      <w:spacing w:after="100"/>
      <w:ind w:left="2160" w:right="180" w:hanging="720"/>
    </w:pPr>
  </w:style>
  <w:style w:type="paragraph" w:styleId="TOAHeading">
    <w:name w:val="toa heading"/>
    <w:basedOn w:val="Normal"/>
    <w:next w:val="Normal"/>
    <w:autoRedefine/>
    <w:uiPriority w:val="99"/>
    <w:unhideWhenUsed/>
    <w:rsid w:val="00381C5F"/>
    <w:pPr>
      <w:tabs>
        <w:tab w:val="right" w:leader="dot" w:pos="9350"/>
      </w:tabs>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80169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s.fec.gov/eqsdocsMUR/00000127.pdf" TargetMode="External"/><Relationship Id="rId13" Type="http://schemas.openxmlformats.org/officeDocument/2006/relationships/hyperlink" Target="http://www.realclearpolitics.com/epolls/2010/house/2010_elections_house_map.html" TargetMode="External"/><Relationship Id="rId18" Type="http://schemas.openxmlformats.org/officeDocument/2006/relationships/hyperlink" Target="http://www.foxnews.com/politics/2010/10/25/connolly-like-many-house-dems-in-swing-districts-faces-tough-re-election.html" TargetMode="External"/><Relationship Id="rId3" Type="http://schemas.openxmlformats.org/officeDocument/2006/relationships/styles" Target="styles.xml"/><Relationship Id="rId21" Type="http://schemas.openxmlformats.org/officeDocument/2006/relationships/hyperlink" Target="https://www.congress.gov/bill/111th-congress/house-bill/4903?q=%7B%22search%22%3A%5B%22H.R.+4903%22%5D%7D&amp;resultIndex=4" TargetMode="External"/><Relationship Id="rId7" Type="http://schemas.openxmlformats.org/officeDocument/2006/relationships/endnotes" Target="endnotes.xml"/><Relationship Id="rId12" Type="http://schemas.openxmlformats.org/officeDocument/2006/relationships/hyperlink" Target="http://www.fec.gov/pubrec/fe2010/2010house.pdf" TargetMode="External"/><Relationship Id="rId17" Type="http://schemas.openxmlformats.org/officeDocument/2006/relationships/hyperlink" Target="http://articles.courant.com/2010-10-26/news/hc-viagra-ad-pulled-1027-20101026_1_political-ads-review-commercials-murphy" TargetMode="External"/><Relationship Id="rId2" Type="http://schemas.openxmlformats.org/officeDocument/2006/relationships/numbering" Target="numbering.xml"/><Relationship Id="rId16" Type="http://schemas.openxmlformats.org/officeDocument/2006/relationships/hyperlink" Target="http://www.denverpost.com/2010/10/26/9news-removes-anti-perlmutter-ad-deemed-a-whopper/" TargetMode="External"/><Relationship Id="rId20" Type="http://schemas.openxmlformats.org/officeDocument/2006/relationships/hyperlink" Target="http://www.washingtonpost.com/wp-dyn/content/article/2010/07/22/AR20100722040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nst.org/disclosure/pdf/issueads_rp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alclearpolitics.com/epolls/2010/house/2010_elections_house_map.html" TargetMode="External"/><Relationship Id="rId23" Type="http://schemas.openxmlformats.org/officeDocument/2006/relationships/fontTable" Target="fontTable.xml"/><Relationship Id="rId10" Type="http://schemas.openxmlformats.org/officeDocument/2006/relationships/hyperlink" Target="http://www.campaignlegalcenter.org/sites/default/files/833.pdf" TargetMode="External"/><Relationship Id="rId19" Type="http://schemas.openxmlformats.org/officeDocument/2006/relationships/hyperlink" Target="https://web.archive.org/web/20101025085516/http:/americanactionnetwork.org/news/aan-statement-issue-advocacy-campaign-congressional-districts-nationwide" TargetMode="External"/><Relationship Id="rId4" Type="http://schemas.openxmlformats.org/officeDocument/2006/relationships/settings" Target="settings.xml"/><Relationship Id="rId9" Type="http://schemas.openxmlformats.org/officeDocument/2006/relationships/hyperlink" Target="http://eqs.fec.gov/eqsdocsMUR/00000124.pdf" TargetMode="External"/><Relationship Id="rId14" Type="http://schemas.openxmlformats.org/officeDocument/2006/relationships/hyperlink" Target="http://www.rasmussenreports.com/public_content/politics/elections/election_2010/election_2010_senate_elections/election_2010_senate_balance_of_powe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post.com/wp-dyn/content/article/2010/01/06/AR2010010600023.html" TargetMode="External"/><Relationship Id="rId2" Type="http://schemas.openxmlformats.org/officeDocument/2006/relationships/hyperlink" Target="http://ctmirror.org/2010/10/26/fox-affiliate-bans-ad-attacking-murphy/" TargetMode="External"/><Relationship Id="rId1" Type="http://schemas.openxmlformats.org/officeDocument/2006/relationships/hyperlink" Target="http://docquery.fec.gov/cgi-bin/fecimg/?10931541172" TargetMode="External"/><Relationship Id="rId4" Type="http://schemas.openxmlformats.org/officeDocument/2006/relationships/hyperlink" Target="http://www.cleveland.com/open/index.ssf/2010/11/us_sen_george_voinovich_refle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B68A4-05A9-400B-B5FA-FE233B3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7054</Words>
  <Characters>40213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47173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Stuart McPhail</cp:lastModifiedBy>
  <cp:revision>3</cp:revision>
  <cp:lastPrinted>2016-11-07T14:20:00Z</cp:lastPrinted>
  <dcterms:created xsi:type="dcterms:W3CDTF">2016-11-09T19:33:00Z</dcterms:created>
  <dcterms:modified xsi:type="dcterms:W3CDTF">2016-11-09T19:44:00Z</dcterms:modified>
</cp:coreProperties>
</file>